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B14E851" w:rsidR="002230F5" w:rsidRPr="00781257" w:rsidRDefault="009D2973">
      <w:pPr>
        <w:spacing w:line="276" w:lineRule="auto"/>
        <w:jc w:val="center"/>
        <w:rPr>
          <w:rFonts w:asciiTheme="majorHAnsi" w:hAnsiTheme="majorHAnsi"/>
          <w:b/>
          <w:bCs/>
        </w:rPr>
      </w:pPr>
      <w:r w:rsidRPr="00781257">
        <w:rPr>
          <w:rFonts w:asciiTheme="majorHAnsi" w:hAnsiTheme="majorHAnsi"/>
          <w:b/>
          <w:bCs/>
        </w:rPr>
        <w:t xml:space="preserve">Joint call </w:t>
      </w:r>
      <w:sdt>
        <w:sdtPr>
          <w:rPr>
            <w:rFonts w:asciiTheme="majorHAnsi" w:hAnsiTheme="majorHAnsi"/>
          </w:rPr>
          <w:tag w:val="goog_rdk_0"/>
          <w:id w:val="-932144276"/>
        </w:sdtPr>
        <w:sdtContent>
          <w:r w:rsidRPr="00781257">
            <w:rPr>
              <w:rFonts w:asciiTheme="majorHAnsi" w:hAnsiTheme="majorHAnsi"/>
              <w:b/>
              <w:bCs/>
            </w:rPr>
            <w:t>for</w:t>
          </w:r>
        </w:sdtContent>
      </w:sdt>
      <w:r w:rsidR="00D8164D" w:rsidRPr="00781257">
        <w:rPr>
          <w:rFonts w:asciiTheme="majorHAnsi" w:hAnsiTheme="majorHAnsi"/>
        </w:rPr>
        <w:t xml:space="preserve"> </w:t>
      </w:r>
      <w:r w:rsidRPr="00781257">
        <w:rPr>
          <w:rFonts w:asciiTheme="majorHAnsi" w:hAnsiTheme="majorHAnsi"/>
          <w:b/>
          <w:bCs/>
        </w:rPr>
        <w:t xml:space="preserve">a strong budget and an ambitious sectoral approach for music within the future </w:t>
      </w:r>
      <w:proofErr w:type="spellStart"/>
      <w:r w:rsidRPr="00781257">
        <w:rPr>
          <w:rFonts w:asciiTheme="majorHAnsi" w:hAnsiTheme="majorHAnsi"/>
          <w:b/>
          <w:bCs/>
        </w:rPr>
        <w:t>AgoraEU</w:t>
      </w:r>
      <w:proofErr w:type="spellEnd"/>
      <w:r w:rsidRPr="00781257">
        <w:rPr>
          <w:rFonts w:asciiTheme="majorHAnsi" w:hAnsiTheme="majorHAnsi"/>
          <w:b/>
          <w:bCs/>
        </w:rPr>
        <w:t xml:space="preserve"> programme</w:t>
      </w:r>
    </w:p>
    <w:p w14:paraId="00000002" w14:textId="77777777" w:rsidR="002230F5" w:rsidRPr="00781257" w:rsidRDefault="002230F5">
      <w:pPr>
        <w:spacing w:line="276" w:lineRule="auto"/>
        <w:rPr>
          <w:rFonts w:asciiTheme="majorHAnsi" w:hAnsiTheme="majorHAnsi"/>
        </w:rPr>
      </w:pPr>
    </w:p>
    <w:p w14:paraId="00000003" w14:textId="77777777" w:rsidR="002230F5" w:rsidRPr="00781257" w:rsidRDefault="009D2973">
      <w:pPr>
        <w:spacing w:line="276" w:lineRule="auto"/>
        <w:jc w:val="right"/>
        <w:rPr>
          <w:rFonts w:asciiTheme="majorHAnsi" w:eastAsia="Arial" w:hAnsiTheme="majorHAnsi" w:cs="Arial"/>
          <w:b/>
          <w:bCs/>
        </w:rPr>
      </w:pPr>
      <w:r w:rsidRPr="00781257">
        <w:rPr>
          <w:rFonts w:asciiTheme="majorHAnsi" w:eastAsia="Arial" w:hAnsiTheme="majorHAnsi" w:cs="Arial"/>
          <w:b/>
          <w:bCs/>
          <w:highlight w:val="yellow"/>
        </w:rPr>
        <w:t>xxx</w:t>
      </w:r>
      <w:r w:rsidRPr="00781257">
        <w:rPr>
          <w:rFonts w:asciiTheme="majorHAnsi" w:eastAsia="Arial" w:hAnsiTheme="majorHAnsi" w:cs="Arial"/>
          <w:b/>
          <w:bCs/>
        </w:rPr>
        <w:t xml:space="preserve"> January 2025</w:t>
      </w:r>
    </w:p>
    <w:p w14:paraId="0F0F39B9" w14:textId="131C0C01" w:rsidR="00D8164D" w:rsidRDefault="009D2973">
      <w:pPr>
        <w:spacing w:line="276" w:lineRule="auto"/>
        <w:jc w:val="both"/>
        <w:rPr>
          <w:rFonts w:asciiTheme="majorHAnsi" w:eastAsia="Arial" w:hAnsiTheme="majorHAnsi" w:cs="Arial"/>
        </w:rPr>
      </w:pPr>
      <w:bookmarkStart w:id="0" w:name="_heading=h.e7nyvfukjpfj" w:colFirst="0" w:colLast="0"/>
      <w:bookmarkEnd w:id="0"/>
      <w:r w:rsidRPr="00781257">
        <w:rPr>
          <w:rFonts w:asciiTheme="majorHAnsi" w:eastAsia="Arial" w:hAnsiTheme="majorHAnsi" w:cs="Arial"/>
        </w:rPr>
        <w:t xml:space="preserve">We, the undersigned organisations from across Europe’s music ecosystem, </w:t>
      </w:r>
      <w:r w:rsidRPr="00A76B72">
        <w:rPr>
          <w:rFonts w:asciiTheme="majorHAnsi" w:eastAsia="Arial" w:hAnsiTheme="majorHAnsi" w:cs="Arial"/>
          <w:b/>
          <w:bCs/>
        </w:rPr>
        <w:t>call on the EU institutions to</w:t>
      </w:r>
      <w:r w:rsidRPr="00781257">
        <w:rPr>
          <w:rFonts w:asciiTheme="majorHAnsi" w:eastAsia="Arial" w:hAnsiTheme="majorHAnsi" w:cs="Arial"/>
        </w:rPr>
        <w:t xml:space="preserve"> </w:t>
      </w:r>
      <w:r w:rsidRPr="00781257">
        <w:rPr>
          <w:rFonts w:asciiTheme="majorHAnsi" w:eastAsia="Arial" w:hAnsiTheme="majorHAnsi" w:cs="Arial"/>
          <w:b/>
          <w:bCs/>
        </w:rPr>
        <w:t xml:space="preserve">adopt a sector-specific strategic approach for European music, with increased funding, alongside the horizontal actions in the future </w:t>
      </w:r>
      <w:proofErr w:type="spellStart"/>
      <w:r w:rsidRPr="00781257">
        <w:rPr>
          <w:rFonts w:asciiTheme="majorHAnsi" w:eastAsia="Arial" w:hAnsiTheme="majorHAnsi" w:cs="Arial"/>
          <w:b/>
          <w:bCs/>
        </w:rPr>
        <w:t>AgoraEU</w:t>
      </w:r>
      <w:proofErr w:type="spellEnd"/>
      <w:r w:rsidRPr="00781257">
        <w:rPr>
          <w:rFonts w:asciiTheme="majorHAnsi" w:eastAsia="Arial" w:hAnsiTheme="majorHAnsi" w:cs="Arial"/>
          <w:b/>
          <w:bCs/>
        </w:rPr>
        <w:t xml:space="preserve"> programme 2028-2034</w:t>
      </w:r>
      <w:r w:rsidRPr="00781257">
        <w:rPr>
          <w:rFonts w:asciiTheme="majorHAnsi" w:eastAsia="Arial" w:hAnsiTheme="majorHAnsi" w:cs="Arial"/>
        </w:rPr>
        <w:t>.</w:t>
      </w:r>
    </w:p>
    <w:p w14:paraId="2DFF5150" w14:textId="67CA71BB" w:rsidR="006F299F" w:rsidRPr="00781257" w:rsidRDefault="006F299F">
      <w:pPr>
        <w:spacing w:line="276" w:lineRule="auto"/>
        <w:jc w:val="both"/>
        <w:rPr>
          <w:rFonts w:asciiTheme="majorHAnsi" w:eastAsia="Arial" w:hAnsiTheme="majorHAnsi" w:cs="Arial"/>
        </w:rPr>
      </w:pPr>
      <w:r>
        <w:rPr>
          <w:rFonts w:asciiTheme="majorHAnsi" w:eastAsia="Arial" w:hAnsiTheme="majorHAnsi" w:cs="Arial"/>
        </w:rPr>
        <w:t>E</w:t>
      </w:r>
      <w:r w:rsidRPr="006F299F">
        <w:rPr>
          <w:rFonts w:asciiTheme="majorHAnsi" w:eastAsia="Arial" w:hAnsiTheme="majorHAnsi" w:cs="Arial"/>
        </w:rPr>
        <w:t xml:space="preserve">choing the </w:t>
      </w:r>
      <w:hyperlink r:id="rId9" w:history="1">
        <w:r w:rsidRPr="006F299F">
          <w:rPr>
            <w:rStyle w:val="Hyperlink"/>
            <w:rFonts w:asciiTheme="majorHAnsi" w:eastAsia="Arial" w:hAnsiTheme="majorHAnsi" w:cs="Arial"/>
          </w:rPr>
          <w:t>statement</w:t>
        </w:r>
      </w:hyperlink>
      <w:r w:rsidRPr="006F299F">
        <w:rPr>
          <w:rFonts w:asciiTheme="majorHAnsi" w:eastAsia="Arial" w:hAnsiTheme="majorHAnsi" w:cs="Arial"/>
        </w:rPr>
        <w:t xml:space="preserve"> published in September 2025 by 21 European music organisations, </w:t>
      </w:r>
      <w:r w:rsidRPr="00A76B72">
        <w:rPr>
          <w:rFonts w:asciiTheme="majorHAnsi" w:eastAsia="Arial" w:hAnsiTheme="majorHAnsi" w:cs="Arial"/>
          <w:b/>
          <w:bCs/>
        </w:rPr>
        <w:t xml:space="preserve">we strongly welcome the European Commission’s proposal to establish </w:t>
      </w:r>
      <w:proofErr w:type="spellStart"/>
      <w:r w:rsidRPr="00A76B72">
        <w:rPr>
          <w:rFonts w:asciiTheme="majorHAnsi" w:eastAsia="Arial" w:hAnsiTheme="majorHAnsi" w:cs="Arial"/>
          <w:b/>
          <w:bCs/>
        </w:rPr>
        <w:t>AgoraEU</w:t>
      </w:r>
      <w:proofErr w:type="spellEnd"/>
      <w:r w:rsidRPr="00A76B72">
        <w:rPr>
          <w:rFonts w:asciiTheme="majorHAnsi" w:eastAsia="Arial" w:hAnsiTheme="majorHAnsi" w:cs="Arial"/>
          <w:b/>
          <w:bCs/>
        </w:rPr>
        <w:t xml:space="preserve"> and the proposed increased budget allocated to the programme</w:t>
      </w:r>
      <w:r w:rsidRPr="006F299F">
        <w:rPr>
          <w:rFonts w:asciiTheme="majorHAnsi" w:eastAsia="Arial" w:hAnsiTheme="majorHAnsi" w:cs="Arial"/>
        </w:rPr>
        <w:t>, which should be regarded as an absolute minimum. A strong budget for culture would be in line with the European Commission’s ambition, with its Culture Compass, “to ensure culture is central to European unity, diversity and excellence”.</w:t>
      </w:r>
    </w:p>
    <w:p w14:paraId="00000006" w14:textId="1458ED98" w:rsidR="002230F5" w:rsidRDefault="009D2973">
      <w:pPr>
        <w:spacing w:line="276" w:lineRule="auto"/>
        <w:jc w:val="both"/>
        <w:rPr>
          <w:rFonts w:asciiTheme="majorHAnsi" w:eastAsia="Arial" w:hAnsiTheme="majorHAnsi" w:cs="Arial"/>
        </w:rPr>
      </w:pPr>
      <w:bookmarkStart w:id="1" w:name="_heading=h.9inx8qlvzmy6" w:colFirst="0" w:colLast="0"/>
      <w:bookmarkStart w:id="2" w:name="_heading=h.vffgdazgovmf" w:colFirst="0" w:colLast="0"/>
      <w:bookmarkEnd w:id="1"/>
      <w:bookmarkEnd w:id="2"/>
      <w:r w:rsidRPr="00781257">
        <w:rPr>
          <w:rFonts w:asciiTheme="majorHAnsi" w:eastAsia="Arial" w:hAnsiTheme="majorHAnsi" w:cs="Arial"/>
        </w:rPr>
        <w:t xml:space="preserve">While artistic freedom, fair working conditions, and cultural diversity are under increasing pressure and should remain central to the programme, the proposed increased budget </w:t>
      </w:r>
      <w:sdt>
        <w:sdtPr>
          <w:rPr>
            <w:rFonts w:asciiTheme="majorHAnsi" w:hAnsiTheme="majorHAnsi"/>
          </w:rPr>
          <w:tag w:val="goog_rdk_15"/>
          <w:id w:val="671021700"/>
          <w:showingPlcHdr/>
        </w:sdtPr>
        <w:sdtContent>
          <w:r w:rsidR="000F421F">
            <w:rPr>
              <w:rFonts w:asciiTheme="majorHAnsi" w:hAnsiTheme="majorHAnsi"/>
            </w:rPr>
            <w:t xml:space="preserve">     </w:t>
          </w:r>
        </w:sdtContent>
      </w:sdt>
      <w:r w:rsidRPr="00781257">
        <w:rPr>
          <w:rFonts w:asciiTheme="majorHAnsi" w:eastAsia="Arial" w:hAnsiTheme="majorHAnsi" w:cs="Arial"/>
          <w:b/>
          <w:bCs/>
        </w:rPr>
        <w:t>offers a</w:t>
      </w:r>
      <w:r w:rsidRPr="00781257">
        <w:rPr>
          <w:rFonts w:asciiTheme="majorHAnsi" w:eastAsia="Arial" w:hAnsiTheme="majorHAnsi" w:cs="Arial"/>
        </w:rPr>
        <w:t xml:space="preserve"> </w:t>
      </w:r>
      <w:r w:rsidRPr="00781257">
        <w:rPr>
          <w:rFonts w:asciiTheme="majorHAnsi" w:eastAsia="Arial" w:hAnsiTheme="majorHAnsi" w:cs="Arial"/>
          <w:b/>
          <w:bCs/>
        </w:rPr>
        <w:t>unique opportunity to develop a sectoral approach</w:t>
      </w:r>
      <w:r w:rsidRPr="00781257">
        <w:rPr>
          <w:rFonts w:asciiTheme="majorHAnsi" w:eastAsia="Arial" w:hAnsiTheme="majorHAnsi" w:cs="Arial"/>
        </w:rPr>
        <w:t xml:space="preserve"> </w:t>
      </w:r>
      <w:r w:rsidRPr="00781257">
        <w:rPr>
          <w:rFonts w:asciiTheme="majorHAnsi" w:eastAsia="Arial" w:hAnsiTheme="majorHAnsi" w:cs="Arial"/>
          <w:b/>
          <w:bCs/>
        </w:rPr>
        <w:t>to</w:t>
      </w:r>
      <w:r w:rsidR="00D8164D" w:rsidRPr="00781257">
        <w:rPr>
          <w:rFonts w:asciiTheme="majorHAnsi" w:eastAsia="Arial" w:hAnsiTheme="majorHAnsi" w:cs="Arial"/>
          <w:b/>
          <w:bCs/>
        </w:rPr>
        <w:t xml:space="preserve"> add</w:t>
      </w:r>
      <w:r w:rsidR="00A76B72">
        <w:rPr>
          <w:rFonts w:asciiTheme="majorHAnsi" w:eastAsia="Arial" w:hAnsiTheme="majorHAnsi" w:cs="Arial"/>
          <w:b/>
          <w:bCs/>
        </w:rPr>
        <w:t>ress</w:t>
      </w:r>
      <w:r w:rsidR="000F421F">
        <w:rPr>
          <w:rFonts w:asciiTheme="majorHAnsi" w:eastAsia="Arial" w:hAnsiTheme="majorHAnsi" w:cs="Arial"/>
          <w:b/>
          <w:bCs/>
        </w:rPr>
        <w:t xml:space="preserve"> </w:t>
      </w:r>
      <w:r w:rsidRPr="00781257">
        <w:rPr>
          <w:rFonts w:asciiTheme="majorHAnsi" w:eastAsia="Arial" w:hAnsiTheme="majorHAnsi" w:cs="Arial"/>
          <w:b/>
          <w:bCs/>
        </w:rPr>
        <w:t>the specific and concrete challenges faced by the European music sector.</w:t>
      </w:r>
      <w:r w:rsidRPr="00781257">
        <w:rPr>
          <w:rFonts w:asciiTheme="majorHAnsi" w:eastAsia="Arial" w:hAnsiTheme="majorHAnsi" w:cs="Arial"/>
        </w:rPr>
        <w:t xml:space="preserve"> As it stands, the </w:t>
      </w:r>
      <w:proofErr w:type="spellStart"/>
      <w:r w:rsidRPr="00781257">
        <w:rPr>
          <w:rFonts w:asciiTheme="majorHAnsi" w:eastAsia="Arial" w:hAnsiTheme="majorHAnsi" w:cs="Arial"/>
        </w:rPr>
        <w:t>AgoraEU</w:t>
      </w:r>
      <w:proofErr w:type="spellEnd"/>
      <w:r w:rsidRPr="00781257">
        <w:rPr>
          <w:rFonts w:asciiTheme="majorHAnsi" w:eastAsia="Arial" w:hAnsiTheme="majorHAnsi" w:cs="Arial"/>
        </w:rPr>
        <w:t xml:space="preserve"> proposal fails to mention any dedicated measures </w:t>
      </w:r>
      <w:r w:rsidR="000F421F">
        <w:rPr>
          <w:rFonts w:asciiTheme="majorHAnsi" w:eastAsia="Arial" w:hAnsiTheme="majorHAnsi" w:cs="Arial"/>
        </w:rPr>
        <w:t xml:space="preserve">for music </w:t>
      </w:r>
      <w:r w:rsidRPr="00781257">
        <w:rPr>
          <w:rFonts w:asciiTheme="majorHAnsi" w:eastAsia="Arial" w:hAnsiTheme="majorHAnsi" w:cs="Arial"/>
        </w:rPr>
        <w:t>or follow-up</w:t>
      </w:r>
      <w:sdt>
        <w:sdtPr>
          <w:rPr>
            <w:rFonts w:asciiTheme="majorHAnsi" w:hAnsiTheme="majorHAnsi"/>
          </w:rPr>
          <w:tag w:val="goog_rdk_17"/>
          <w:id w:val="2035191877"/>
          <w:showingPlcHdr/>
        </w:sdtPr>
        <w:sdtContent>
          <w:r w:rsidR="00A76B72">
            <w:rPr>
              <w:rFonts w:asciiTheme="majorHAnsi" w:hAnsiTheme="majorHAnsi"/>
            </w:rPr>
            <w:t xml:space="preserve">     </w:t>
          </w:r>
        </w:sdtContent>
      </w:sdt>
      <w:r w:rsidRPr="00781257">
        <w:rPr>
          <w:rFonts w:asciiTheme="majorHAnsi" w:eastAsia="Arial" w:hAnsiTheme="majorHAnsi" w:cs="Arial"/>
        </w:rPr>
        <w:t xml:space="preserve"> to the Music Moves Europe (MME) initiatives</w:t>
      </w:r>
      <w:sdt>
        <w:sdtPr>
          <w:rPr>
            <w:rFonts w:asciiTheme="majorHAnsi" w:hAnsiTheme="majorHAnsi"/>
          </w:rPr>
          <w:tag w:val="goog_rdk_18"/>
          <w:id w:val="-1161336289"/>
        </w:sdtPr>
        <w:sdtContent>
          <w:r w:rsidRPr="00781257">
            <w:rPr>
              <w:rFonts w:asciiTheme="majorHAnsi" w:eastAsia="Arial" w:hAnsiTheme="majorHAnsi" w:cs="Arial"/>
            </w:rPr>
            <w:t>,</w:t>
          </w:r>
        </w:sdtContent>
      </w:sdt>
      <w:r w:rsidRPr="00781257">
        <w:rPr>
          <w:rFonts w:asciiTheme="majorHAnsi" w:eastAsia="Arial" w:hAnsiTheme="majorHAnsi" w:cs="Arial"/>
        </w:rPr>
        <w:t xml:space="preserve"> </w:t>
      </w:r>
      <w:sdt>
        <w:sdtPr>
          <w:rPr>
            <w:rFonts w:asciiTheme="majorHAnsi" w:hAnsiTheme="majorHAnsi"/>
          </w:rPr>
          <w:tag w:val="goog_rdk_19"/>
          <w:id w:val="429838354"/>
        </w:sdtPr>
        <w:sdtContent>
          <w:r w:rsidRPr="00781257">
            <w:rPr>
              <w:rFonts w:asciiTheme="majorHAnsi" w:eastAsia="Arial" w:hAnsiTheme="majorHAnsi" w:cs="Arial"/>
            </w:rPr>
            <w:t xml:space="preserve">even though </w:t>
          </w:r>
        </w:sdtContent>
      </w:sdt>
      <w:sdt>
        <w:sdtPr>
          <w:rPr>
            <w:rFonts w:asciiTheme="majorHAnsi" w:hAnsiTheme="majorHAnsi"/>
          </w:rPr>
          <w:tag w:val="goog_rdk_20"/>
          <w:id w:val="-888148945"/>
          <w:showingPlcHdr/>
        </w:sdtPr>
        <w:sdtContent>
          <w:r w:rsidR="000F421F">
            <w:rPr>
              <w:rFonts w:asciiTheme="majorHAnsi" w:hAnsiTheme="majorHAnsi"/>
            </w:rPr>
            <w:t xml:space="preserve">     </w:t>
          </w:r>
        </w:sdtContent>
      </w:sdt>
      <w:r w:rsidRPr="00781257">
        <w:rPr>
          <w:rFonts w:asciiTheme="majorHAnsi" w:eastAsia="Arial" w:hAnsiTheme="majorHAnsi" w:cs="Arial"/>
        </w:rPr>
        <w:t>the current Creative Europe regulation (2021-2027) explicitly includes a sectoral action for music</w:t>
      </w:r>
      <w:r w:rsidRPr="00781257">
        <w:rPr>
          <w:rFonts w:asciiTheme="majorHAnsi" w:eastAsia="Arial" w:hAnsiTheme="majorHAnsi" w:cs="Arial"/>
          <w:vertAlign w:val="superscript"/>
        </w:rPr>
        <w:footnoteReference w:id="1"/>
      </w:r>
      <w:r w:rsidRPr="00781257">
        <w:rPr>
          <w:rFonts w:asciiTheme="majorHAnsi" w:eastAsia="Arial" w:hAnsiTheme="majorHAnsi" w:cs="Arial"/>
        </w:rPr>
        <w:t>.</w:t>
      </w:r>
    </w:p>
    <w:p w14:paraId="1849E73D" w14:textId="77777777" w:rsidR="006F299F" w:rsidRPr="00781257" w:rsidRDefault="006F299F">
      <w:pPr>
        <w:spacing w:line="276" w:lineRule="auto"/>
        <w:jc w:val="both"/>
        <w:rPr>
          <w:rFonts w:asciiTheme="majorHAnsi" w:eastAsia="Arial" w:hAnsiTheme="majorHAnsi" w:cs="Arial"/>
        </w:rPr>
      </w:pPr>
    </w:p>
    <w:p w14:paraId="00000007" w14:textId="77777777" w:rsidR="002230F5" w:rsidRPr="00781257" w:rsidRDefault="009D2973">
      <w:pPr>
        <w:spacing w:line="276" w:lineRule="auto"/>
        <w:jc w:val="both"/>
        <w:rPr>
          <w:rFonts w:asciiTheme="majorHAnsi" w:eastAsia="Arial" w:hAnsiTheme="majorHAnsi" w:cs="Arial"/>
          <w:b/>
          <w:bCs/>
        </w:rPr>
      </w:pPr>
      <w:r w:rsidRPr="00781257">
        <w:rPr>
          <w:rFonts w:asciiTheme="majorHAnsi" w:eastAsia="Arial" w:hAnsiTheme="majorHAnsi" w:cs="Arial"/>
          <w:b/>
          <w:bCs/>
        </w:rPr>
        <w:t xml:space="preserve">Why music requires dedicated attention in </w:t>
      </w:r>
      <w:proofErr w:type="spellStart"/>
      <w:r w:rsidRPr="00781257">
        <w:rPr>
          <w:rFonts w:asciiTheme="majorHAnsi" w:eastAsia="Arial" w:hAnsiTheme="majorHAnsi" w:cs="Arial"/>
          <w:b/>
          <w:bCs/>
        </w:rPr>
        <w:t>AgoraEU</w:t>
      </w:r>
      <w:proofErr w:type="spellEnd"/>
    </w:p>
    <w:p w14:paraId="00000008" w14:textId="4732D772" w:rsidR="002230F5" w:rsidRPr="00781257" w:rsidRDefault="009D2973">
      <w:pPr>
        <w:spacing w:line="276" w:lineRule="auto"/>
        <w:jc w:val="both"/>
        <w:rPr>
          <w:rFonts w:asciiTheme="majorHAnsi" w:eastAsia="Arial" w:hAnsiTheme="majorHAnsi" w:cs="Arial"/>
        </w:rPr>
      </w:pPr>
      <w:bookmarkStart w:id="3" w:name="_heading=h.6h91zfklmsdu" w:colFirst="0" w:colLast="0"/>
      <w:bookmarkEnd w:id="3"/>
      <w:r w:rsidRPr="00781257">
        <w:rPr>
          <w:rFonts w:asciiTheme="majorHAnsi" w:eastAsia="Arial" w:hAnsiTheme="majorHAnsi" w:cs="Arial"/>
          <w:b/>
          <w:bCs/>
        </w:rPr>
        <w:t>The economic importance of the music sector in Europe is undeniable</w:t>
      </w:r>
      <w:r w:rsidRPr="00781257">
        <w:rPr>
          <w:rFonts w:asciiTheme="majorHAnsi" w:eastAsia="Arial" w:hAnsiTheme="majorHAnsi" w:cs="Arial"/>
        </w:rPr>
        <w:t>: it contributes €81.9 billion in gross value added to the GDP of the EU27 and UK, provides direct employment for more than 1.3 million people across the EU and generates €9.7 billion in export revenue</w:t>
      </w:r>
      <w:r w:rsidRPr="00781257">
        <w:rPr>
          <w:rFonts w:asciiTheme="majorHAnsi" w:eastAsia="Arial" w:hAnsiTheme="majorHAnsi" w:cs="Arial"/>
          <w:vertAlign w:val="superscript"/>
        </w:rPr>
        <w:footnoteReference w:id="2"/>
      </w:r>
      <w:r w:rsidRPr="00781257">
        <w:rPr>
          <w:rFonts w:asciiTheme="majorHAnsi" w:eastAsia="Arial" w:hAnsiTheme="majorHAnsi" w:cs="Arial"/>
        </w:rPr>
        <w:t xml:space="preserve">. </w:t>
      </w:r>
      <w:sdt>
        <w:sdtPr>
          <w:rPr>
            <w:rFonts w:asciiTheme="majorHAnsi" w:hAnsiTheme="majorHAnsi"/>
          </w:rPr>
          <w:tag w:val="goog_rdk_21"/>
          <w:id w:val="703538720"/>
        </w:sdtPr>
        <w:sdtContent>
          <w:sdt>
            <w:sdtPr>
              <w:rPr>
                <w:rFonts w:asciiTheme="majorHAnsi" w:hAnsiTheme="majorHAnsi"/>
              </w:rPr>
              <w:tag w:val="goog_rdk_22"/>
              <w:id w:val="1503658083"/>
            </w:sdtPr>
            <w:sdtContent/>
          </w:sdt>
          <w:r w:rsidRPr="00781257">
            <w:rPr>
              <w:rFonts w:asciiTheme="majorHAnsi" w:eastAsia="Arial" w:hAnsiTheme="majorHAnsi" w:cs="Arial"/>
            </w:rPr>
            <w:t>Micro, small and medium-sized businesses account for most of the European music sector’s jobs and generate most of its added value.</w:t>
          </w:r>
        </w:sdtContent>
      </w:sdt>
    </w:p>
    <w:p w14:paraId="2DEA970B" w14:textId="77777777" w:rsidR="006F299F" w:rsidRDefault="009D2973">
      <w:pPr>
        <w:spacing w:line="276" w:lineRule="auto"/>
        <w:jc w:val="both"/>
        <w:rPr>
          <w:rFonts w:asciiTheme="majorHAnsi" w:eastAsia="Arial" w:hAnsiTheme="majorHAnsi" w:cs="Arial"/>
        </w:rPr>
      </w:pPr>
      <w:r w:rsidRPr="00781257">
        <w:rPr>
          <w:rFonts w:asciiTheme="majorHAnsi" w:eastAsia="Arial" w:hAnsiTheme="majorHAnsi" w:cs="Arial"/>
          <w:highlight w:val="white"/>
        </w:rPr>
        <w:t xml:space="preserve">At the crossroads of social, economic, and cultural policies, </w:t>
      </w:r>
      <w:r w:rsidRPr="00781257">
        <w:rPr>
          <w:rFonts w:asciiTheme="majorHAnsi" w:eastAsia="Arial" w:hAnsiTheme="majorHAnsi" w:cs="Arial"/>
          <w:b/>
          <w:bCs/>
          <w:highlight w:val="white"/>
        </w:rPr>
        <w:t>music is also one of Europe’s most accessible and influential cultural forms</w:t>
      </w:r>
      <w:r w:rsidRPr="00781257">
        <w:rPr>
          <w:rFonts w:asciiTheme="majorHAnsi" w:eastAsia="Arial" w:hAnsiTheme="majorHAnsi" w:cs="Arial"/>
          <w:highlight w:val="white"/>
        </w:rPr>
        <w:t xml:space="preserve"> and remains at the very core of what </w:t>
      </w:r>
      <w:r w:rsidRPr="00781257">
        <w:rPr>
          <w:rFonts w:asciiTheme="majorHAnsi" w:eastAsia="Arial" w:hAnsiTheme="majorHAnsi" w:cs="Arial"/>
          <w:highlight w:val="white"/>
        </w:rPr>
        <w:lastRenderedPageBreak/>
        <w:t>Europeans value and experience together</w:t>
      </w:r>
      <w:r w:rsidR="006F299F">
        <w:rPr>
          <w:rFonts w:asciiTheme="majorHAnsi" w:eastAsia="Arial" w:hAnsiTheme="majorHAnsi" w:cs="Arial"/>
        </w:rPr>
        <w:t xml:space="preserve">. It fosters </w:t>
      </w:r>
      <w:r w:rsidR="006F299F" w:rsidRPr="006F299F">
        <w:rPr>
          <w:rFonts w:asciiTheme="majorHAnsi" w:eastAsia="Arial" w:hAnsiTheme="majorHAnsi" w:cs="Arial"/>
        </w:rPr>
        <w:t>inclusion, strengthens democratic values, and enhances Europe’s global cultural presence and international collaboration.</w:t>
      </w:r>
    </w:p>
    <w:p w14:paraId="0000000A" w14:textId="0DD134FD" w:rsidR="002230F5" w:rsidRPr="00781257" w:rsidRDefault="009D2973">
      <w:pPr>
        <w:spacing w:line="276" w:lineRule="auto"/>
        <w:jc w:val="both"/>
        <w:rPr>
          <w:rFonts w:asciiTheme="majorHAnsi" w:eastAsia="Arial" w:hAnsiTheme="majorHAnsi" w:cs="Arial"/>
        </w:rPr>
      </w:pPr>
      <w:r w:rsidRPr="00781257">
        <w:rPr>
          <w:rFonts w:asciiTheme="majorHAnsi" w:eastAsia="Arial" w:hAnsiTheme="majorHAnsi" w:cs="Arial"/>
        </w:rPr>
        <w:t xml:space="preserve">Yet, the </w:t>
      </w:r>
      <w:r w:rsidRPr="00781257">
        <w:rPr>
          <w:rFonts w:asciiTheme="majorHAnsi" w:eastAsia="Arial" w:hAnsiTheme="majorHAnsi" w:cs="Arial"/>
          <w:b/>
          <w:bCs/>
        </w:rPr>
        <w:t>sector is confronted with significant challenges and major disruption</w:t>
      </w:r>
      <w:r w:rsidRPr="00781257">
        <w:rPr>
          <w:rFonts w:asciiTheme="majorHAnsi" w:eastAsia="Arial" w:hAnsiTheme="majorHAnsi" w:cs="Arial"/>
        </w:rPr>
        <w:t xml:space="preserve">: </w:t>
      </w:r>
    </w:p>
    <w:p w14:paraId="0000000B" w14:textId="77777777" w:rsidR="002230F5" w:rsidRDefault="009D2973">
      <w:pPr>
        <w:numPr>
          <w:ilvl w:val="0"/>
          <w:numId w:val="2"/>
        </w:numPr>
        <w:pBdr>
          <w:top w:val="nil"/>
          <w:left w:val="nil"/>
          <w:bottom w:val="nil"/>
          <w:right w:val="nil"/>
          <w:between w:val="nil"/>
        </w:pBdr>
        <w:spacing w:after="0" w:line="276" w:lineRule="auto"/>
        <w:jc w:val="both"/>
        <w:rPr>
          <w:rFonts w:asciiTheme="majorHAnsi" w:eastAsia="Arial" w:hAnsiTheme="majorHAnsi" w:cs="Arial"/>
          <w:color w:val="000000"/>
        </w:rPr>
      </w:pPr>
      <w:r w:rsidRPr="00781257">
        <w:rPr>
          <w:rFonts w:asciiTheme="majorHAnsi" w:eastAsia="Arial" w:hAnsiTheme="majorHAnsi" w:cs="Arial"/>
          <w:b/>
          <w:bCs/>
          <w:color w:val="000000"/>
        </w:rPr>
        <w:t>Generative AI</w:t>
      </w:r>
      <w:r w:rsidRPr="00781257">
        <w:rPr>
          <w:rFonts w:asciiTheme="majorHAnsi" w:eastAsia="Arial" w:hAnsiTheme="majorHAnsi" w:cs="Arial"/>
          <w:color w:val="000000"/>
        </w:rPr>
        <w:t xml:space="preserve"> is accelerating at unprecedented speed, reshaping music creation, distribution, and business models, putting at risk creators’ and rights holders’ revenues, as well as the integrity of musical works. </w:t>
      </w:r>
    </w:p>
    <w:p w14:paraId="28C9DCDE" w14:textId="24C56583" w:rsidR="006F299F" w:rsidRPr="006F299F" w:rsidRDefault="006F299F">
      <w:pPr>
        <w:numPr>
          <w:ilvl w:val="0"/>
          <w:numId w:val="2"/>
        </w:numPr>
        <w:pBdr>
          <w:top w:val="nil"/>
          <w:left w:val="nil"/>
          <w:bottom w:val="nil"/>
          <w:right w:val="nil"/>
          <w:between w:val="nil"/>
        </w:pBdr>
        <w:spacing w:after="0" w:line="276" w:lineRule="auto"/>
        <w:jc w:val="both"/>
        <w:rPr>
          <w:rFonts w:asciiTheme="majorHAnsi" w:eastAsia="Arial" w:hAnsiTheme="majorHAnsi" w:cs="Arial"/>
          <w:color w:val="000000"/>
        </w:rPr>
      </w:pPr>
      <w:r>
        <w:rPr>
          <w:rFonts w:asciiTheme="majorHAnsi" w:eastAsia="Arial" w:hAnsiTheme="majorHAnsi" w:cs="Arial"/>
          <w:b/>
          <w:bCs/>
          <w:color w:val="000000"/>
        </w:rPr>
        <w:t xml:space="preserve">Market concentration </w:t>
      </w:r>
      <w:r w:rsidRPr="00781257">
        <w:rPr>
          <w:rFonts w:asciiTheme="majorHAnsi" w:eastAsia="Arial" w:hAnsiTheme="majorHAnsi" w:cs="Arial"/>
          <w:color w:val="000000"/>
        </w:rPr>
        <w:t>across the sector is</w:t>
      </w:r>
      <w:sdt>
        <w:sdtPr>
          <w:rPr>
            <w:rFonts w:asciiTheme="majorHAnsi" w:hAnsiTheme="majorHAnsi"/>
          </w:rPr>
          <w:tag w:val="goog_rdk_27"/>
          <w:id w:val="-820732052"/>
        </w:sdtPr>
        <w:sdtContent>
          <w:r w:rsidRPr="00781257">
            <w:rPr>
              <w:rFonts w:asciiTheme="majorHAnsi" w:eastAsia="Arial" w:hAnsiTheme="majorHAnsi" w:cs="Arial"/>
              <w:color w:val="000000"/>
            </w:rPr>
            <w:t xml:space="preserve"> a growing issue,</w:t>
          </w:r>
        </w:sdtContent>
      </w:sdt>
      <w:r w:rsidRPr="00781257">
        <w:rPr>
          <w:rFonts w:asciiTheme="majorHAnsi" w:eastAsia="Arial" w:hAnsiTheme="majorHAnsi" w:cs="Arial"/>
          <w:color w:val="000000"/>
        </w:rPr>
        <w:t xml:space="preserve"> further exacerbating power imbalances along the value chain, limiting market access for small actors and jeopardising Europe’s competitiveness, cultural diversity and capacity to thrive internationally.</w:t>
      </w:r>
      <w:sdt>
        <w:sdtPr>
          <w:rPr>
            <w:rFonts w:asciiTheme="majorHAnsi" w:hAnsiTheme="majorHAnsi"/>
          </w:rPr>
          <w:tag w:val="goog_rdk_28"/>
          <w:id w:val="1706756907"/>
        </w:sdtPr>
        <w:sdtContent>
          <w:sdt>
            <w:sdtPr>
              <w:rPr>
                <w:rFonts w:asciiTheme="majorHAnsi" w:hAnsiTheme="majorHAnsi"/>
              </w:rPr>
              <w:tag w:val="goog_rdk_29"/>
              <w:id w:val="-1400276830"/>
            </w:sdtPr>
            <w:sdtContent/>
          </w:sdt>
        </w:sdtContent>
      </w:sdt>
    </w:p>
    <w:p w14:paraId="5DD399EC" w14:textId="58278407" w:rsidR="006F299F" w:rsidRDefault="006F299F" w:rsidP="006F299F">
      <w:pPr>
        <w:pStyle w:val="ListParagraph"/>
        <w:numPr>
          <w:ilvl w:val="0"/>
          <w:numId w:val="2"/>
        </w:numPr>
        <w:rPr>
          <w:rFonts w:asciiTheme="majorHAnsi" w:eastAsia="Arial" w:hAnsiTheme="majorHAnsi" w:cs="Arial"/>
          <w:color w:val="000000"/>
        </w:rPr>
      </w:pPr>
      <w:r w:rsidRPr="006F299F">
        <w:rPr>
          <w:rFonts w:asciiTheme="majorHAnsi" w:eastAsia="Arial" w:hAnsiTheme="majorHAnsi" w:cs="Arial"/>
          <w:b/>
          <w:bCs/>
          <w:color w:val="000000"/>
        </w:rPr>
        <w:t>European repertoire essentially struggles to travel across borders</w:t>
      </w:r>
      <w:r w:rsidRPr="006F299F">
        <w:rPr>
          <w:rFonts w:asciiTheme="majorHAnsi" w:eastAsia="Arial" w:hAnsiTheme="majorHAnsi" w:cs="Arial"/>
          <w:color w:val="000000"/>
        </w:rPr>
        <w:t xml:space="preserve"> due to fragmented markets, double taxation, complex administrative frameworks, and cultural barriers, all of which hinder cross</w:t>
      </w:r>
      <w:r w:rsidRPr="006F299F">
        <w:rPr>
          <w:rFonts w:ascii="Cambria Math" w:eastAsia="Arial" w:hAnsi="Cambria Math" w:cs="Cambria Math"/>
          <w:color w:val="000000"/>
        </w:rPr>
        <w:t>‑</w:t>
      </w:r>
      <w:r w:rsidRPr="006F299F">
        <w:rPr>
          <w:rFonts w:asciiTheme="majorHAnsi" w:eastAsia="Arial" w:hAnsiTheme="majorHAnsi" w:cs="Arial"/>
          <w:color w:val="000000"/>
        </w:rPr>
        <w:t>border mobility and limit Europe</w:t>
      </w:r>
      <w:r w:rsidRPr="006F299F">
        <w:rPr>
          <w:rFonts w:ascii="Aptos Display" w:eastAsia="Arial" w:hAnsi="Aptos Display" w:cs="Aptos Display"/>
          <w:color w:val="000000"/>
        </w:rPr>
        <w:t>’</w:t>
      </w:r>
      <w:r w:rsidRPr="006F299F">
        <w:rPr>
          <w:rFonts w:asciiTheme="majorHAnsi" w:eastAsia="Arial" w:hAnsiTheme="majorHAnsi" w:cs="Arial"/>
          <w:color w:val="000000"/>
        </w:rPr>
        <w:t>s musical diversity</w:t>
      </w:r>
      <w:r w:rsidR="000F421F">
        <w:rPr>
          <w:rFonts w:asciiTheme="majorHAnsi" w:eastAsia="Arial" w:hAnsiTheme="majorHAnsi" w:cs="Arial"/>
          <w:color w:val="000000"/>
        </w:rPr>
        <w:t>.</w:t>
      </w:r>
    </w:p>
    <w:p w14:paraId="0000000E" w14:textId="74877B03" w:rsidR="002230F5" w:rsidRPr="006F299F" w:rsidRDefault="006F299F" w:rsidP="006F299F">
      <w:pPr>
        <w:pStyle w:val="ListParagraph"/>
        <w:numPr>
          <w:ilvl w:val="0"/>
          <w:numId w:val="2"/>
        </w:numPr>
        <w:rPr>
          <w:rFonts w:asciiTheme="majorHAnsi" w:eastAsia="Arial" w:hAnsiTheme="majorHAnsi" w:cs="Arial"/>
          <w:color w:val="000000"/>
        </w:rPr>
      </w:pPr>
      <w:r>
        <w:rPr>
          <w:rFonts w:asciiTheme="majorHAnsi" w:eastAsia="Arial" w:hAnsiTheme="majorHAnsi" w:cs="Arial"/>
          <w:b/>
          <w:bCs/>
          <w:color w:val="000000"/>
        </w:rPr>
        <w:t>Music</w:t>
      </w:r>
      <w:sdt>
        <w:sdtPr>
          <w:tag w:val="goog_rdk_44"/>
          <w:id w:val="-2039134099"/>
        </w:sdtPr>
        <w:sdtContent>
          <w:r>
            <w:t xml:space="preserve"> </w:t>
          </w:r>
        </w:sdtContent>
      </w:sdt>
      <w:r w:rsidR="009D2973" w:rsidRPr="006F299F">
        <w:rPr>
          <w:rFonts w:asciiTheme="majorHAnsi" w:eastAsia="Arial" w:hAnsiTheme="majorHAnsi" w:cs="Arial"/>
          <w:b/>
          <w:bCs/>
          <w:color w:val="000000"/>
        </w:rPr>
        <w:t>streaming</w:t>
      </w:r>
      <w:r w:rsidR="009D2973" w:rsidRPr="006F299F">
        <w:rPr>
          <w:rFonts w:asciiTheme="majorHAnsi" w:eastAsia="Arial" w:hAnsiTheme="majorHAnsi" w:cs="Arial"/>
          <w:color w:val="000000"/>
        </w:rPr>
        <w:t xml:space="preserve"> has become the main avenue for listening to music but fraudulent practices as well as the lack of transparency of algorithms and playlists have a detrimental impact on discoverability and on the economic sustainability of the European music sector, as identified by the European Parliament in its resolution on music streaming in 2024.</w:t>
      </w:r>
      <w:r w:rsidR="004C1B1B">
        <w:rPr>
          <w:rStyle w:val="FootnoteReference"/>
          <w:rFonts w:asciiTheme="majorHAnsi" w:eastAsia="Arial" w:hAnsiTheme="majorHAnsi" w:cs="Arial"/>
          <w:color w:val="000000"/>
        </w:rPr>
        <w:footnoteReference w:id="3"/>
      </w:r>
      <w:sdt>
        <w:sdtPr>
          <w:tag w:val="goog_rdk_45"/>
          <w:id w:val="1786240547"/>
        </w:sdtPr>
        <w:sdtContent/>
      </w:sdt>
      <w:r w:rsidR="009D2973" w:rsidRPr="006F299F">
        <w:rPr>
          <w:rFonts w:asciiTheme="majorHAnsi" w:eastAsia="Arial" w:hAnsiTheme="majorHAnsi" w:cs="Arial"/>
          <w:color w:val="000000"/>
        </w:rPr>
        <w:t xml:space="preserve"> </w:t>
      </w:r>
      <w:sdt>
        <w:sdtPr>
          <w:tag w:val="goog_rdk_46"/>
          <w:id w:val="-2002091461"/>
        </w:sdtPr>
        <w:sdtContent>
          <w:r w:rsidR="009D2973" w:rsidRPr="006F299F">
            <w:rPr>
              <w:rFonts w:asciiTheme="majorHAnsi" w:eastAsia="Arial" w:hAnsiTheme="majorHAnsi" w:cs="Arial"/>
              <w:color w:val="000000"/>
            </w:rPr>
            <w:t xml:space="preserve">Payment thresholds </w:t>
          </w:r>
          <w:sdt>
            <w:sdtPr>
              <w:tag w:val="goog_rdk_47"/>
              <w:id w:val="122495470"/>
            </w:sdtPr>
            <w:sdtContent>
              <w:r w:rsidR="009D2973" w:rsidRPr="006F299F">
                <w:rPr>
                  <w:rFonts w:asciiTheme="majorHAnsi" w:eastAsia="Arial" w:hAnsiTheme="majorHAnsi" w:cs="Arial"/>
                </w:rPr>
                <w:t>have</w:t>
              </w:r>
            </w:sdtContent>
          </w:sdt>
          <w:r w:rsidR="009D2973" w:rsidRPr="006F299F">
            <w:rPr>
              <w:rFonts w:asciiTheme="majorHAnsi" w:eastAsia="Arial" w:hAnsiTheme="majorHAnsi" w:cs="Arial"/>
              <w:color w:val="000000"/>
            </w:rPr>
            <w:t xml:space="preserve"> led to revenue shifts and even complete demone</w:t>
          </w:r>
          <w:sdt>
            <w:sdtPr>
              <w:tag w:val="goog_rdk_48"/>
              <w:id w:val="-164688707"/>
            </w:sdtPr>
            <w:sdtContent>
              <w:r w:rsidR="009D2973" w:rsidRPr="006F299F">
                <w:rPr>
                  <w:rFonts w:asciiTheme="majorHAnsi" w:eastAsia="Arial" w:hAnsiTheme="majorHAnsi" w:cs="Arial"/>
                </w:rPr>
                <w:t xml:space="preserve">tisation, harming in particular emerging artists and repertoire from smaller countries and languages or even more established artists in more niche genres. </w:t>
              </w:r>
            </w:sdtContent>
          </w:sdt>
        </w:sdtContent>
      </w:sdt>
    </w:p>
    <w:p w14:paraId="0000000F" w14:textId="21888613" w:rsidR="002230F5" w:rsidRPr="006F299F" w:rsidRDefault="009D2973">
      <w:pPr>
        <w:spacing w:line="259" w:lineRule="auto"/>
        <w:jc w:val="both"/>
        <w:rPr>
          <w:rFonts w:asciiTheme="majorHAnsi" w:eastAsia="Arial" w:hAnsiTheme="majorHAnsi" w:cs="Arial"/>
          <w:b/>
          <w:bCs/>
        </w:rPr>
      </w:pPr>
      <w:proofErr w:type="spellStart"/>
      <w:r w:rsidRPr="00781257">
        <w:rPr>
          <w:rFonts w:asciiTheme="majorHAnsi" w:eastAsia="Arial" w:hAnsiTheme="majorHAnsi" w:cs="Arial"/>
          <w:b/>
          <w:bCs/>
        </w:rPr>
        <w:t>AgoraEU</w:t>
      </w:r>
      <w:proofErr w:type="spellEnd"/>
      <w:r w:rsidRPr="00781257">
        <w:rPr>
          <w:rFonts w:asciiTheme="majorHAnsi" w:eastAsia="Arial" w:hAnsiTheme="majorHAnsi" w:cs="Arial"/>
          <w:b/>
          <w:bCs/>
        </w:rPr>
        <w:t xml:space="preserve"> should play an important role in helping the European music sector to address these challenges.</w:t>
      </w:r>
      <w:r w:rsidR="006F299F">
        <w:rPr>
          <w:rFonts w:asciiTheme="majorHAnsi" w:eastAsia="Arial" w:hAnsiTheme="majorHAnsi" w:cs="Arial"/>
          <w:b/>
          <w:bCs/>
        </w:rPr>
        <w:t xml:space="preserve"> Sector specific </w:t>
      </w:r>
      <w:r w:rsidRPr="00A76B72">
        <w:rPr>
          <w:rFonts w:asciiTheme="majorHAnsi" w:eastAsia="Arial" w:hAnsiTheme="majorHAnsi" w:cs="Arial"/>
          <w:b/>
          <w:bCs/>
        </w:rPr>
        <w:t>support for music</w:t>
      </w:r>
      <w:r w:rsidRPr="00781257">
        <w:rPr>
          <w:rFonts w:asciiTheme="majorHAnsi" w:eastAsia="Arial" w:hAnsiTheme="majorHAnsi" w:cs="Arial"/>
        </w:rPr>
        <w:t xml:space="preserve"> would contribute to increasing the competitiveness, diversity and sustainability of Europe’s music sector, in line with the general objectives of </w:t>
      </w:r>
      <w:proofErr w:type="spellStart"/>
      <w:r w:rsidRPr="00781257">
        <w:rPr>
          <w:rFonts w:asciiTheme="majorHAnsi" w:eastAsia="Arial" w:hAnsiTheme="majorHAnsi" w:cs="Arial"/>
        </w:rPr>
        <w:t>AgoraEU</w:t>
      </w:r>
      <w:proofErr w:type="spellEnd"/>
      <w:r w:rsidRPr="00781257">
        <w:rPr>
          <w:rFonts w:asciiTheme="majorHAnsi" w:eastAsia="Arial" w:hAnsiTheme="majorHAnsi" w:cs="Arial"/>
        </w:rPr>
        <w:t xml:space="preserve">.  </w:t>
      </w:r>
    </w:p>
    <w:p w14:paraId="00000010" w14:textId="77777777" w:rsidR="002230F5" w:rsidRPr="00781257" w:rsidRDefault="009D2973">
      <w:pPr>
        <w:spacing w:line="276" w:lineRule="auto"/>
        <w:jc w:val="both"/>
        <w:rPr>
          <w:rFonts w:asciiTheme="majorHAnsi" w:eastAsia="Arial" w:hAnsiTheme="majorHAnsi" w:cs="Arial"/>
        </w:rPr>
      </w:pPr>
      <w:r w:rsidRPr="00781257">
        <w:rPr>
          <w:rFonts w:asciiTheme="majorHAnsi" w:eastAsia="Arial" w:hAnsiTheme="majorHAnsi" w:cs="Arial"/>
        </w:rPr>
        <w:t xml:space="preserve">In 2024, the </w:t>
      </w:r>
      <w:r w:rsidRPr="00781257">
        <w:rPr>
          <w:rFonts w:asciiTheme="majorHAnsi" w:eastAsia="Arial" w:hAnsiTheme="majorHAnsi" w:cs="Arial"/>
          <w:b/>
          <w:bCs/>
        </w:rPr>
        <w:t>European Parliament</w:t>
      </w:r>
      <w:r w:rsidRPr="00781257">
        <w:rPr>
          <w:rFonts w:asciiTheme="majorHAnsi" w:eastAsia="Arial" w:hAnsiTheme="majorHAnsi" w:cs="Arial"/>
        </w:rPr>
        <w:t xml:space="preserve"> called on the Commission to “</w:t>
      </w:r>
      <w:r w:rsidRPr="00781257">
        <w:rPr>
          <w:rFonts w:asciiTheme="majorHAnsi" w:eastAsia="Arial" w:hAnsiTheme="majorHAnsi" w:cs="Arial"/>
          <w:i/>
          <w:iCs/>
        </w:rPr>
        <w:t>further improve the Creative Europe programme, in particular through comprehensive action on music</w:t>
      </w:r>
      <w:r w:rsidRPr="00781257">
        <w:rPr>
          <w:rFonts w:asciiTheme="majorHAnsi" w:eastAsia="Arial" w:hAnsiTheme="majorHAnsi" w:cs="Arial"/>
        </w:rPr>
        <w:t>” and supported a “</w:t>
      </w:r>
      <w:r w:rsidRPr="00781257">
        <w:rPr>
          <w:rFonts w:asciiTheme="majorHAnsi" w:eastAsia="Arial" w:hAnsiTheme="majorHAnsi" w:cs="Arial"/>
          <w:i/>
          <w:iCs/>
        </w:rPr>
        <w:t>European industrial strategy for music</w:t>
      </w:r>
      <w:r w:rsidRPr="00781257">
        <w:rPr>
          <w:rFonts w:asciiTheme="majorHAnsi" w:eastAsia="Arial" w:hAnsiTheme="majorHAnsi" w:cs="Arial"/>
        </w:rPr>
        <w:t>”, In January 2025, in a letter to the European Commission</w:t>
      </w:r>
      <w:r w:rsidRPr="00781257">
        <w:rPr>
          <w:rFonts w:asciiTheme="majorHAnsi" w:eastAsia="Arial" w:hAnsiTheme="majorHAnsi" w:cs="Arial"/>
          <w:vertAlign w:val="superscript"/>
        </w:rPr>
        <w:footnoteReference w:id="4"/>
      </w:r>
      <w:r w:rsidRPr="00781257">
        <w:rPr>
          <w:rFonts w:asciiTheme="majorHAnsi" w:eastAsia="Arial" w:hAnsiTheme="majorHAnsi" w:cs="Arial"/>
        </w:rPr>
        <w:t xml:space="preserve">, </w:t>
      </w:r>
      <w:r w:rsidRPr="00781257">
        <w:rPr>
          <w:rFonts w:asciiTheme="majorHAnsi" w:eastAsia="Arial" w:hAnsiTheme="majorHAnsi" w:cs="Arial"/>
          <w:b/>
          <w:bCs/>
        </w:rPr>
        <w:t>the EU’s 27 Ministers for Culture underlined the need for sector-tailored incentives</w:t>
      </w:r>
      <w:r w:rsidRPr="00781257">
        <w:rPr>
          <w:rFonts w:asciiTheme="majorHAnsi" w:eastAsia="Arial" w:hAnsiTheme="majorHAnsi" w:cs="Arial"/>
        </w:rPr>
        <w:t>, stressing that EU strategies and funding must be flexible and responsive to the rapidly evolving needs of the cultural and creative ecosystem. At the end of 2025, the interim evaluation of the Creative Europe programme 2021-2027</w:t>
      </w:r>
      <w:r w:rsidRPr="00781257">
        <w:rPr>
          <w:rFonts w:asciiTheme="majorHAnsi" w:eastAsia="Arial" w:hAnsiTheme="majorHAnsi" w:cs="Arial"/>
          <w:vertAlign w:val="superscript"/>
        </w:rPr>
        <w:footnoteReference w:id="5"/>
      </w:r>
      <w:r w:rsidRPr="00781257">
        <w:rPr>
          <w:rFonts w:asciiTheme="majorHAnsi" w:eastAsia="Arial" w:hAnsiTheme="majorHAnsi" w:cs="Arial"/>
        </w:rPr>
        <w:t xml:space="preserve"> found that “</w:t>
      </w:r>
      <w:r w:rsidRPr="00781257">
        <w:rPr>
          <w:rFonts w:asciiTheme="majorHAnsi" w:eastAsia="Arial" w:hAnsiTheme="majorHAnsi" w:cs="Arial"/>
          <w:i/>
          <w:iCs/>
        </w:rPr>
        <w:t>the dual (horizontal and sectorial) approach introduced in the Culture strand is successful and both approaches are complementary</w:t>
      </w:r>
      <w:r w:rsidRPr="00781257">
        <w:rPr>
          <w:rFonts w:asciiTheme="majorHAnsi" w:eastAsia="Arial" w:hAnsiTheme="majorHAnsi" w:cs="Arial"/>
        </w:rPr>
        <w:t>”, and “</w:t>
      </w:r>
      <w:r w:rsidRPr="00781257">
        <w:rPr>
          <w:rFonts w:asciiTheme="majorHAnsi" w:eastAsia="Arial" w:hAnsiTheme="majorHAnsi" w:cs="Arial"/>
          <w:i/>
          <w:iCs/>
        </w:rPr>
        <w:t>it is advised to keep a similar approach in the next programming period</w:t>
      </w:r>
      <w:r w:rsidRPr="00781257">
        <w:rPr>
          <w:rFonts w:asciiTheme="majorHAnsi" w:eastAsia="Arial" w:hAnsiTheme="majorHAnsi" w:cs="Arial"/>
        </w:rPr>
        <w:t xml:space="preserve">”. </w:t>
      </w:r>
    </w:p>
    <w:p w14:paraId="00000011" w14:textId="77777777" w:rsidR="002230F5" w:rsidRPr="00A76B72" w:rsidRDefault="009D2973">
      <w:pPr>
        <w:spacing w:line="276" w:lineRule="auto"/>
        <w:jc w:val="both"/>
        <w:rPr>
          <w:rFonts w:asciiTheme="majorHAnsi" w:eastAsia="Arial" w:hAnsiTheme="majorHAnsi" w:cs="Arial"/>
          <w:b/>
          <w:bCs/>
        </w:rPr>
      </w:pPr>
      <w:proofErr w:type="spellStart"/>
      <w:r w:rsidRPr="00A76B72">
        <w:rPr>
          <w:rFonts w:asciiTheme="majorHAnsi" w:eastAsia="Arial" w:hAnsiTheme="majorHAnsi" w:cs="Arial"/>
          <w:b/>
          <w:bCs/>
        </w:rPr>
        <w:t>AgoraEU</w:t>
      </w:r>
      <w:proofErr w:type="spellEnd"/>
      <w:r w:rsidRPr="00A76B72">
        <w:rPr>
          <w:rFonts w:asciiTheme="majorHAnsi" w:eastAsia="Arial" w:hAnsiTheme="majorHAnsi" w:cs="Arial"/>
          <w:b/>
          <w:bCs/>
        </w:rPr>
        <w:t xml:space="preserve"> now offers a unique opportunity to finally deliver a </w:t>
      </w:r>
      <w:sdt>
        <w:sdtPr>
          <w:rPr>
            <w:rFonts w:asciiTheme="majorHAnsi" w:hAnsiTheme="majorHAnsi"/>
            <w:b/>
            <w:bCs/>
          </w:rPr>
          <w:tag w:val="goog_rdk_53"/>
          <w:id w:val="-330543469"/>
        </w:sdtPr>
        <w:sdtContent>
          <w:r w:rsidRPr="00A76B72">
            <w:rPr>
              <w:rFonts w:asciiTheme="majorHAnsi" w:eastAsia="Arial" w:hAnsiTheme="majorHAnsi" w:cs="Arial"/>
              <w:b/>
              <w:bCs/>
            </w:rPr>
            <w:t xml:space="preserve">meaningful </w:t>
          </w:r>
        </w:sdtContent>
      </w:sdt>
      <w:r w:rsidRPr="000F421F">
        <w:rPr>
          <w:rFonts w:asciiTheme="majorHAnsi" w:eastAsia="Arial" w:hAnsiTheme="majorHAnsi" w:cs="Arial"/>
          <w:b/>
          <w:bCs/>
        </w:rPr>
        <w:t xml:space="preserve">strategic sector-specific support for the European music sector. </w:t>
      </w:r>
    </w:p>
    <w:p w14:paraId="00000012" w14:textId="77777777" w:rsidR="002230F5" w:rsidRPr="00781257" w:rsidRDefault="009D2973">
      <w:pPr>
        <w:spacing w:line="276" w:lineRule="auto"/>
        <w:jc w:val="both"/>
        <w:rPr>
          <w:rFonts w:asciiTheme="majorHAnsi" w:eastAsia="Arial" w:hAnsiTheme="majorHAnsi" w:cs="Arial"/>
          <w:b/>
          <w:bCs/>
        </w:rPr>
      </w:pPr>
      <w:r w:rsidRPr="00781257">
        <w:rPr>
          <w:rFonts w:asciiTheme="majorHAnsi" w:eastAsia="Arial" w:hAnsiTheme="majorHAnsi" w:cs="Arial"/>
          <w:b/>
          <w:bCs/>
        </w:rPr>
        <w:lastRenderedPageBreak/>
        <w:t xml:space="preserve">Our recommendations for </w:t>
      </w:r>
      <w:proofErr w:type="spellStart"/>
      <w:r w:rsidRPr="00781257">
        <w:rPr>
          <w:rFonts w:asciiTheme="majorHAnsi" w:eastAsia="Arial" w:hAnsiTheme="majorHAnsi" w:cs="Arial"/>
          <w:b/>
          <w:bCs/>
        </w:rPr>
        <w:t>AgoraEU</w:t>
      </w:r>
      <w:proofErr w:type="spellEnd"/>
      <w:r w:rsidRPr="00781257">
        <w:rPr>
          <w:rFonts w:asciiTheme="majorHAnsi" w:eastAsia="Arial" w:hAnsiTheme="majorHAnsi" w:cs="Arial"/>
          <w:b/>
          <w:bCs/>
        </w:rPr>
        <w:t xml:space="preserve"> 2028-2034</w:t>
      </w:r>
    </w:p>
    <w:p w14:paraId="00000013" w14:textId="62FABE88" w:rsidR="002230F5" w:rsidRPr="00781257" w:rsidRDefault="009D2973">
      <w:pPr>
        <w:spacing w:line="276" w:lineRule="auto"/>
        <w:jc w:val="both"/>
        <w:rPr>
          <w:rFonts w:asciiTheme="majorHAnsi" w:eastAsia="Arial" w:hAnsiTheme="majorHAnsi" w:cs="Arial"/>
        </w:rPr>
      </w:pPr>
      <w:bookmarkStart w:id="4" w:name="_heading=h.8a9dk64ph9t7" w:colFirst="0" w:colLast="0"/>
      <w:bookmarkEnd w:id="4"/>
      <w:r w:rsidRPr="00781257">
        <w:rPr>
          <w:rFonts w:asciiTheme="majorHAnsi" w:eastAsia="Arial" w:hAnsiTheme="majorHAnsi" w:cs="Arial"/>
        </w:rPr>
        <w:t>In line with the EU’s ambition to enhance the competitiveness and innovation potential of the music sector</w:t>
      </w:r>
      <w:r w:rsidRPr="00781257">
        <w:rPr>
          <w:rFonts w:asciiTheme="majorHAnsi" w:eastAsia="Arial" w:hAnsiTheme="majorHAnsi" w:cs="Arial"/>
          <w:vertAlign w:val="superscript"/>
        </w:rPr>
        <w:footnoteReference w:id="6"/>
      </w:r>
      <w:r w:rsidRPr="00781257">
        <w:rPr>
          <w:rFonts w:asciiTheme="majorHAnsi" w:eastAsia="Arial" w:hAnsiTheme="majorHAnsi" w:cs="Arial"/>
        </w:rPr>
        <w:t xml:space="preserve">, we call for the inclusion of the following measures in the </w:t>
      </w:r>
      <w:proofErr w:type="spellStart"/>
      <w:r w:rsidRPr="00781257">
        <w:rPr>
          <w:rFonts w:asciiTheme="majorHAnsi" w:eastAsia="Arial" w:hAnsiTheme="majorHAnsi" w:cs="Arial"/>
        </w:rPr>
        <w:t>AgoraEU</w:t>
      </w:r>
      <w:proofErr w:type="spellEnd"/>
      <w:r w:rsidRPr="00781257">
        <w:rPr>
          <w:rFonts w:asciiTheme="majorHAnsi" w:eastAsia="Arial" w:hAnsiTheme="majorHAnsi" w:cs="Arial"/>
        </w:rPr>
        <w:t xml:space="preserve"> regulation</w:t>
      </w:r>
      <w:sdt>
        <w:sdtPr>
          <w:rPr>
            <w:rFonts w:asciiTheme="majorHAnsi" w:hAnsiTheme="majorHAnsi"/>
          </w:rPr>
          <w:tag w:val="goog_rdk_54"/>
          <w:id w:val="-1400338891"/>
        </w:sdtPr>
        <w:sdtContent>
          <w:r w:rsidRPr="00781257">
            <w:rPr>
              <w:rFonts w:asciiTheme="majorHAnsi" w:eastAsia="Arial" w:hAnsiTheme="majorHAnsi" w:cs="Arial"/>
            </w:rPr>
            <w:t>:</w:t>
          </w:r>
        </w:sdtContent>
      </w:sdt>
      <w:sdt>
        <w:sdtPr>
          <w:rPr>
            <w:rFonts w:asciiTheme="majorHAnsi" w:hAnsiTheme="majorHAnsi"/>
          </w:rPr>
          <w:tag w:val="goog_rdk_55"/>
          <w:id w:val="583489304"/>
          <w:showingPlcHdr/>
        </w:sdtPr>
        <w:sdtContent>
          <w:r w:rsidR="00781257" w:rsidRPr="00781257">
            <w:rPr>
              <w:rFonts w:asciiTheme="majorHAnsi" w:hAnsiTheme="majorHAnsi"/>
            </w:rPr>
            <w:t xml:space="preserve">     </w:t>
          </w:r>
        </w:sdtContent>
      </w:sdt>
    </w:p>
    <w:p w14:paraId="00000014" w14:textId="2C9497BE" w:rsidR="002230F5" w:rsidRPr="00781257" w:rsidRDefault="00000000">
      <w:pPr>
        <w:numPr>
          <w:ilvl w:val="0"/>
          <w:numId w:val="1"/>
        </w:numPr>
        <w:spacing w:after="0" w:line="276" w:lineRule="auto"/>
        <w:jc w:val="both"/>
        <w:rPr>
          <w:rFonts w:asciiTheme="majorHAnsi" w:eastAsia="Arial" w:hAnsiTheme="majorHAnsi" w:cs="Arial"/>
        </w:rPr>
      </w:pPr>
      <w:sdt>
        <w:sdtPr>
          <w:rPr>
            <w:rFonts w:asciiTheme="majorHAnsi" w:hAnsiTheme="majorHAnsi"/>
          </w:rPr>
          <w:tag w:val="goog_rdk_56"/>
          <w:id w:val="-1000545048"/>
        </w:sdtPr>
        <w:sdtContent/>
      </w:sdt>
      <w:r w:rsidR="009D2973" w:rsidRPr="00781257">
        <w:rPr>
          <w:rFonts w:asciiTheme="majorHAnsi" w:eastAsia="Arial" w:hAnsiTheme="majorHAnsi" w:cs="Arial"/>
          <w:b/>
          <w:bCs/>
        </w:rPr>
        <w:t xml:space="preserve">Secure earmarked funding for music in the </w:t>
      </w:r>
      <w:proofErr w:type="spellStart"/>
      <w:r w:rsidR="009D2973" w:rsidRPr="00781257">
        <w:rPr>
          <w:rFonts w:asciiTheme="majorHAnsi" w:eastAsia="Arial" w:hAnsiTheme="majorHAnsi" w:cs="Arial"/>
          <w:b/>
          <w:bCs/>
        </w:rPr>
        <w:t>AgoraEU</w:t>
      </w:r>
      <w:proofErr w:type="spellEnd"/>
      <w:r w:rsidR="009D2973" w:rsidRPr="00781257">
        <w:rPr>
          <w:rFonts w:asciiTheme="majorHAnsi" w:eastAsia="Arial" w:hAnsiTheme="majorHAnsi" w:cs="Arial"/>
          <w:b/>
          <w:bCs/>
        </w:rPr>
        <w:t xml:space="preserve"> </w:t>
      </w:r>
      <w:r w:rsidR="004C1B1B">
        <w:rPr>
          <w:rFonts w:asciiTheme="majorHAnsi" w:eastAsia="Arial" w:hAnsiTheme="majorHAnsi" w:cs="Arial"/>
          <w:b/>
          <w:bCs/>
        </w:rPr>
        <w:t>r</w:t>
      </w:r>
      <w:r w:rsidR="009D2973" w:rsidRPr="00781257">
        <w:rPr>
          <w:rFonts w:asciiTheme="majorHAnsi" w:eastAsia="Arial" w:hAnsiTheme="majorHAnsi" w:cs="Arial"/>
          <w:b/>
          <w:bCs/>
        </w:rPr>
        <w:t>egulation</w:t>
      </w:r>
      <w:r w:rsidR="004C1B1B">
        <w:rPr>
          <w:rFonts w:asciiTheme="majorHAnsi" w:eastAsia="Arial" w:hAnsiTheme="majorHAnsi" w:cs="Arial"/>
          <w:b/>
          <w:bCs/>
        </w:rPr>
        <w:t xml:space="preserve"> </w:t>
      </w:r>
      <w:r w:rsidR="004C1B1B" w:rsidRPr="004C1B1B">
        <w:rPr>
          <w:rFonts w:asciiTheme="majorHAnsi" w:eastAsia="Arial" w:hAnsiTheme="majorHAnsi" w:cs="Arial"/>
        </w:rPr>
        <w:t>(as a minimum budget)</w:t>
      </w:r>
      <w:r w:rsidR="009D2973" w:rsidRPr="004C1B1B">
        <w:rPr>
          <w:rFonts w:asciiTheme="majorHAnsi" w:eastAsia="Arial" w:hAnsiTheme="majorHAnsi" w:cs="Arial"/>
        </w:rPr>
        <w:t xml:space="preserve">, alongside the horizontal actions. </w:t>
      </w:r>
    </w:p>
    <w:p w14:paraId="00000015" w14:textId="77777777" w:rsidR="002230F5" w:rsidRPr="00781257" w:rsidRDefault="002230F5">
      <w:pPr>
        <w:spacing w:after="0" w:line="276" w:lineRule="auto"/>
        <w:ind w:left="720"/>
        <w:jc w:val="both"/>
        <w:rPr>
          <w:rFonts w:asciiTheme="majorHAnsi" w:eastAsia="Arial" w:hAnsiTheme="majorHAnsi" w:cs="Arial"/>
        </w:rPr>
      </w:pPr>
    </w:p>
    <w:p w14:paraId="00000016" w14:textId="42B4700B" w:rsidR="002230F5" w:rsidRPr="00781257" w:rsidRDefault="009D2973">
      <w:pPr>
        <w:numPr>
          <w:ilvl w:val="0"/>
          <w:numId w:val="1"/>
        </w:numPr>
        <w:spacing w:after="0" w:line="276" w:lineRule="auto"/>
        <w:jc w:val="both"/>
        <w:rPr>
          <w:rFonts w:asciiTheme="majorHAnsi" w:eastAsia="Arial" w:hAnsiTheme="majorHAnsi" w:cs="Arial"/>
        </w:rPr>
      </w:pPr>
      <w:r w:rsidRPr="00781257">
        <w:rPr>
          <w:rFonts w:asciiTheme="majorHAnsi" w:eastAsia="Arial" w:hAnsiTheme="majorHAnsi" w:cs="Arial"/>
          <w:b/>
          <w:bCs/>
        </w:rPr>
        <w:t xml:space="preserve">Reintroduce in </w:t>
      </w:r>
      <w:proofErr w:type="spellStart"/>
      <w:r w:rsidRPr="00781257">
        <w:rPr>
          <w:rFonts w:asciiTheme="majorHAnsi" w:eastAsia="Arial" w:hAnsiTheme="majorHAnsi" w:cs="Arial"/>
          <w:b/>
          <w:bCs/>
        </w:rPr>
        <w:t>AgoraEU</w:t>
      </w:r>
      <w:proofErr w:type="spellEnd"/>
      <w:r w:rsidRPr="00781257">
        <w:rPr>
          <w:rFonts w:asciiTheme="majorHAnsi" w:eastAsia="Arial" w:hAnsiTheme="majorHAnsi" w:cs="Arial"/>
          <w:b/>
          <w:bCs/>
        </w:rPr>
        <w:t xml:space="preserve"> a</w:t>
      </w:r>
      <w:sdt>
        <w:sdtPr>
          <w:rPr>
            <w:rFonts w:asciiTheme="majorHAnsi" w:hAnsiTheme="majorHAnsi"/>
          </w:rPr>
          <w:tag w:val="goog_rdk_57"/>
          <w:id w:val="983236911"/>
        </w:sdtPr>
        <w:sdtContent>
          <w:r w:rsidRPr="00781257">
            <w:rPr>
              <w:rFonts w:asciiTheme="majorHAnsi" w:eastAsia="Arial" w:hAnsiTheme="majorHAnsi" w:cs="Arial"/>
              <w:b/>
              <w:bCs/>
            </w:rPr>
            <w:t xml:space="preserve"> dedicated</w:t>
          </w:r>
        </w:sdtContent>
      </w:sdt>
      <w:r w:rsidRPr="00781257">
        <w:rPr>
          <w:rFonts w:asciiTheme="majorHAnsi" w:eastAsia="Arial" w:hAnsiTheme="majorHAnsi" w:cs="Arial"/>
          <w:b/>
          <w:bCs/>
        </w:rPr>
        <w:t xml:space="preserve"> sectoral action for music</w:t>
      </w:r>
      <w:r w:rsidRPr="00781257">
        <w:rPr>
          <w:rFonts w:asciiTheme="majorHAnsi" w:eastAsia="Arial" w:hAnsiTheme="majorHAnsi" w:cs="Arial"/>
        </w:rPr>
        <w:t xml:space="preserve"> with meaningful, structural and strategic sectoral actions tailored to the</w:t>
      </w:r>
      <w:sdt>
        <w:sdtPr>
          <w:rPr>
            <w:rFonts w:asciiTheme="majorHAnsi" w:hAnsiTheme="majorHAnsi"/>
          </w:rPr>
          <w:tag w:val="goog_rdk_58"/>
          <w:id w:val="-884342383"/>
        </w:sdtPr>
        <w:sdtContent>
          <w:r w:rsidR="000F421F">
            <w:rPr>
              <w:rFonts w:asciiTheme="majorHAnsi" w:hAnsiTheme="majorHAnsi"/>
            </w:rPr>
            <w:t xml:space="preserve"> </w:t>
          </w:r>
        </w:sdtContent>
      </w:sdt>
      <w:r w:rsidRPr="00781257">
        <w:rPr>
          <w:rFonts w:asciiTheme="majorHAnsi" w:eastAsia="Arial" w:hAnsiTheme="majorHAnsi" w:cs="Arial"/>
        </w:rPr>
        <w:t xml:space="preserve"> sector’s specific needs.</w:t>
      </w:r>
      <w:r w:rsidRPr="00781257">
        <w:rPr>
          <w:rFonts w:asciiTheme="majorHAnsi" w:eastAsia="Arial" w:hAnsiTheme="majorHAnsi" w:cs="Arial"/>
          <w:b/>
          <w:bCs/>
        </w:rPr>
        <w:t xml:space="preserve"> </w:t>
      </w:r>
    </w:p>
    <w:p w14:paraId="00000017" w14:textId="77777777" w:rsidR="002230F5" w:rsidRPr="00781257" w:rsidRDefault="002230F5">
      <w:pPr>
        <w:spacing w:after="0" w:line="276" w:lineRule="auto"/>
        <w:ind w:left="720"/>
        <w:jc w:val="both"/>
        <w:rPr>
          <w:rFonts w:asciiTheme="majorHAnsi" w:eastAsia="Arial" w:hAnsiTheme="majorHAnsi" w:cs="Arial"/>
        </w:rPr>
      </w:pPr>
    </w:p>
    <w:p w14:paraId="00000018" w14:textId="55FF7375" w:rsidR="002230F5" w:rsidRPr="00781257" w:rsidRDefault="009D2973">
      <w:pPr>
        <w:numPr>
          <w:ilvl w:val="0"/>
          <w:numId w:val="1"/>
        </w:numPr>
        <w:spacing w:after="0" w:line="276" w:lineRule="auto"/>
        <w:jc w:val="both"/>
        <w:rPr>
          <w:rFonts w:asciiTheme="majorHAnsi" w:eastAsia="Arial" w:hAnsiTheme="majorHAnsi" w:cs="Arial"/>
        </w:rPr>
      </w:pPr>
      <w:r w:rsidRPr="00781257">
        <w:rPr>
          <w:rFonts w:asciiTheme="majorHAnsi" w:eastAsia="Arial" w:hAnsiTheme="majorHAnsi" w:cs="Arial"/>
          <w:b/>
          <w:bCs/>
        </w:rPr>
        <w:t>Ensure a</w:t>
      </w:r>
      <w:r w:rsidRPr="00781257">
        <w:rPr>
          <w:rFonts w:asciiTheme="majorHAnsi" w:eastAsia="Arial" w:hAnsiTheme="majorHAnsi" w:cs="Arial"/>
        </w:rPr>
        <w:t xml:space="preserve"> </w:t>
      </w:r>
      <w:r w:rsidRPr="00781257">
        <w:rPr>
          <w:rFonts w:asciiTheme="majorHAnsi" w:eastAsia="Arial" w:hAnsiTheme="majorHAnsi" w:cs="Arial"/>
          <w:b/>
          <w:bCs/>
        </w:rPr>
        <w:t>structured</w:t>
      </w:r>
      <w:r w:rsidRPr="00781257">
        <w:rPr>
          <w:rFonts w:asciiTheme="majorHAnsi" w:eastAsia="Arial" w:hAnsiTheme="majorHAnsi" w:cs="Arial"/>
        </w:rPr>
        <w:t xml:space="preserve"> </w:t>
      </w:r>
      <w:r w:rsidRPr="00781257">
        <w:rPr>
          <w:rFonts w:asciiTheme="majorHAnsi" w:eastAsia="Arial" w:hAnsiTheme="majorHAnsi" w:cs="Arial"/>
          <w:b/>
          <w:bCs/>
        </w:rPr>
        <w:t>and regular dialogue between the European Commission and the music sector</w:t>
      </w:r>
      <w:r w:rsidRPr="00781257">
        <w:rPr>
          <w:rFonts w:asciiTheme="majorHAnsi" w:eastAsia="Arial" w:hAnsiTheme="majorHAnsi" w:cs="Arial"/>
        </w:rPr>
        <w:t xml:space="preserve"> on the future annual work programmes as well as the calls and programme dedicated to music, to guarantee they align with the needs of the sector across the entire value chain</w:t>
      </w:r>
      <w:r w:rsidR="000F421F">
        <w:rPr>
          <w:rFonts w:asciiTheme="majorHAnsi" w:eastAsia="Arial" w:hAnsiTheme="majorHAnsi" w:cs="Arial"/>
        </w:rPr>
        <w:t>.</w:t>
      </w:r>
    </w:p>
    <w:p w14:paraId="00000019" w14:textId="77777777" w:rsidR="002230F5" w:rsidRPr="00781257" w:rsidRDefault="002230F5">
      <w:pPr>
        <w:spacing w:after="0" w:line="276" w:lineRule="auto"/>
        <w:ind w:left="720"/>
        <w:jc w:val="both"/>
        <w:rPr>
          <w:rFonts w:asciiTheme="majorHAnsi" w:eastAsia="Arial" w:hAnsiTheme="majorHAnsi" w:cs="Arial"/>
        </w:rPr>
      </w:pPr>
    </w:p>
    <w:p w14:paraId="0000001A" w14:textId="77777777" w:rsidR="002230F5" w:rsidRPr="00781257" w:rsidRDefault="009D2973">
      <w:pPr>
        <w:numPr>
          <w:ilvl w:val="0"/>
          <w:numId w:val="1"/>
        </w:numPr>
        <w:spacing w:after="0" w:line="276" w:lineRule="auto"/>
        <w:jc w:val="both"/>
        <w:rPr>
          <w:rFonts w:asciiTheme="majorHAnsi" w:eastAsia="Arial" w:hAnsiTheme="majorHAnsi" w:cs="Arial"/>
        </w:rPr>
      </w:pPr>
      <w:r w:rsidRPr="00781257">
        <w:rPr>
          <w:rFonts w:asciiTheme="majorHAnsi" w:eastAsia="Arial" w:hAnsiTheme="majorHAnsi" w:cs="Arial"/>
          <w:b/>
          <w:bCs/>
        </w:rPr>
        <w:t>Support sector-specific studies and enhanced data collection to monitor and analyse the music sector’s trends and challenges</w:t>
      </w:r>
      <w:r w:rsidRPr="00781257">
        <w:rPr>
          <w:rFonts w:asciiTheme="majorHAnsi" w:eastAsia="Arial" w:hAnsiTheme="majorHAnsi" w:cs="Arial"/>
        </w:rPr>
        <w:t>, providing policy makers and stakeholders with the evidence and data they need to inform the right policies and programmes</w:t>
      </w:r>
      <w:r w:rsidRPr="00781257">
        <w:rPr>
          <w:rFonts w:asciiTheme="majorHAnsi" w:eastAsia="Arial" w:hAnsiTheme="majorHAnsi" w:cs="Arial"/>
          <w:b/>
          <w:bCs/>
        </w:rPr>
        <w:t xml:space="preserve">. </w:t>
      </w:r>
      <w:r w:rsidRPr="00781257">
        <w:rPr>
          <w:rFonts w:asciiTheme="majorHAnsi" w:eastAsia="Arial" w:hAnsiTheme="majorHAnsi" w:cs="Arial"/>
        </w:rPr>
        <w:t>The establishment of a European Music Observatory (or equivalent monitoring body) – as called for by the European Parliament and building on the insights of the 2018-2020 Music Moves Europe preparatory action – would play a key role to achieve those objectives.</w:t>
      </w:r>
    </w:p>
    <w:p w14:paraId="0000001B" w14:textId="77777777" w:rsidR="002230F5" w:rsidRPr="00781257" w:rsidRDefault="002230F5">
      <w:pPr>
        <w:spacing w:after="0" w:line="276" w:lineRule="auto"/>
        <w:ind w:left="720"/>
        <w:jc w:val="both"/>
        <w:rPr>
          <w:rFonts w:asciiTheme="majorHAnsi" w:eastAsia="Arial" w:hAnsiTheme="majorHAnsi" w:cs="Arial"/>
        </w:rPr>
      </w:pPr>
    </w:p>
    <w:p w14:paraId="0000001C" w14:textId="77777777" w:rsidR="002230F5" w:rsidRPr="00A76B72" w:rsidRDefault="009D2973">
      <w:pPr>
        <w:spacing w:line="259" w:lineRule="auto"/>
        <w:jc w:val="both"/>
        <w:rPr>
          <w:rFonts w:asciiTheme="majorHAnsi" w:eastAsia="Arial" w:hAnsiTheme="majorHAnsi" w:cs="Arial"/>
          <w:b/>
          <w:bCs/>
        </w:rPr>
      </w:pPr>
      <w:r w:rsidRPr="00A76B72">
        <w:rPr>
          <w:rFonts w:asciiTheme="majorHAnsi" w:eastAsia="Arial" w:hAnsiTheme="majorHAnsi" w:cs="Arial"/>
          <w:b/>
          <w:bCs/>
        </w:rPr>
        <w:t xml:space="preserve">We count on the European Parliament and the Council to support the introduction of a comprehensive strategy for music, along with an appropriate dedicated budget, to give the music sector the </w:t>
      </w:r>
      <w:r w:rsidRPr="000F421F">
        <w:rPr>
          <w:rFonts w:asciiTheme="majorHAnsi" w:eastAsia="Arial" w:hAnsiTheme="majorHAnsi" w:cs="Arial"/>
          <w:b/>
          <w:bCs/>
        </w:rPr>
        <w:t>visibility, investment, and policy recognition it deserves.</w:t>
      </w:r>
    </w:p>
    <w:p w14:paraId="0000001D" w14:textId="77777777" w:rsidR="002230F5" w:rsidRPr="00781257" w:rsidRDefault="009D2973">
      <w:pPr>
        <w:spacing w:line="259" w:lineRule="auto"/>
        <w:jc w:val="both"/>
        <w:rPr>
          <w:rFonts w:asciiTheme="majorHAnsi" w:eastAsia="Arial" w:hAnsiTheme="majorHAnsi" w:cs="Arial"/>
        </w:rPr>
      </w:pPr>
      <w:r w:rsidRPr="00781257">
        <w:rPr>
          <w:rFonts w:asciiTheme="majorHAnsi" w:eastAsia="Arial" w:hAnsiTheme="majorHAnsi" w:cs="Arial"/>
        </w:rPr>
        <w:t>We stand ready to engage constructively and provide our expertise throughout the entire legislative process.</w:t>
      </w:r>
    </w:p>
    <w:p w14:paraId="3359818A" w14:textId="77777777" w:rsidR="006F299F" w:rsidRDefault="006F299F">
      <w:pPr>
        <w:spacing w:line="276" w:lineRule="auto"/>
        <w:jc w:val="both"/>
        <w:rPr>
          <w:rFonts w:asciiTheme="majorHAnsi" w:eastAsia="Arial" w:hAnsiTheme="majorHAnsi" w:cs="Arial"/>
          <w:b/>
          <w:bCs/>
        </w:rPr>
      </w:pPr>
    </w:p>
    <w:p w14:paraId="0000001E" w14:textId="32C7BAE4" w:rsidR="002230F5" w:rsidRPr="00781257" w:rsidRDefault="009D2973">
      <w:pPr>
        <w:spacing w:line="276" w:lineRule="auto"/>
        <w:jc w:val="both"/>
        <w:rPr>
          <w:rFonts w:asciiTheme="majorHAnsi" w:eastAsia="Arial" w:hAnsiTheme="majorHAnsi" w:cs="Arial"/>
        </w:rPr>
      </w:pPr>
      <w:r w:rsidRPr="00781257">
        <w:rPr>
          <w:rFonts w:asciiTheme="majorHAnsi" w:eastAsia="Arial" w:hAnsiTheme="majorHAnsi" w:cs="Arial"/>
          <w:b/>
          <w:bCs/>
        </w:rPr>
        <w:t xml:space="preserve">List of signatories </w:t>
      </w:r>
      <w:r w:rsidRPr="00781257">
        <w:rPr>
          <w:rFonts w:asciiTheme="majorHAnsi" w:eastAsia="Arial" w:hAnsiTheme="majorHAnsi" w:cs="Arial"/>
          <w:b/>
          <w:bCs/>
          <w:highlight w:val="yellow"/>
        </w:rPr>
        <w:t>tbc</w:t>
      </w:r>
      <w:r w:rsidRPr="00781257">
        <w:rPr>
          <w:rFonts w:asciiTheme="majorHAnsi" w:eastAsia="Arial" w:hAnsiTheme="majorHAnsi" w:cs="Arial"/>
          <w:b/>
          <w:bCs/>
        </w:rPr>
        <w:t xml:space="preserve"> </w:t>
      </w:r>
    </w:p>
    <w:p w14:paraId="0000001F" w14:textId="77777777" w:rsidR="002230F5" w:rsidRPr="00781257" w:rsidRDefault="002230F5">
      <w:pPr>
        <w:jc w:val="both"/>
        <w:rPr>
          <w:rFonts w:asciiTheme="majorHAnsi" w:eastAsia="Arial" w:hAnsiTheme="majorHAnsi" w:cs="Arial"/>
        </w:rPr>
      </w:pPr>
    </w:p>
    <w:p w14:paraId="00000020" w14:textId="77777777" w:rsidR="002230F5" w:rsidRPr="00781257" w:rsidRDefault="002230F5">
      <w:pPr>
        <w:jc w:val="both"/>
        <w:rPr>
          <w:rFonts w:asciiTheme="majorHAnsi" w:eastAsia="Arial" w:hAnsiTheme="majorHAnsi" w:cs="Arial"/>
        </w:rPr>
      </w:pPr>
    </w:p>
    <w:p w14:paraId="00000021" w14:textId="77777777" w:rsidR="002230F5" w:rsidRPr="00781257" w:rsidRDefault="002230F5">
      <w:pPr>
        <w:rPr>
          <w:rFonts w:asciiTheme="majorHAnsi" w:hAnsiTheme="majorHAnsi"/>
        </w:rPr>
      </w:pPr>
    </w:p>
    <w:sectPr w:rsidR="002230F5" w:rsidRPr="00781257">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4D290" w14:textId="77777777" w:rsidR="005103DB" w:rsidRDefault="005103DB">
      <w:pPr>
        <w:spacing w:after="0" w:line="240" w:lineRule="auto"/>
      </w:pPr>
      <w:r>
        <w:separator/>
      </w:r>
    </w:p>
  </w:endnote>
  <w:endnote w:type="continuationSeparator" w:id="0">
    <w:p w14:paraId="1E165F96" w14:textId="77777777" w:rsidR="005103DB" w:rsidRDefault="0051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A51497-C3D0-4922-9698-3329A08097A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A2ED7152-DCCA-43CC-AD86-C10C58DE4BAE}"/>
    <w:embedBold r:id="rId3" w:fontKey="{D3B8164B-6D86-4F0C-A19D-0E90BA12B444}"/>
    <w:embedItalic r:id="rId4" w:fontKey="{428AACCD-1F38-461A-8358-A13D2CC42EB0}"/>
  </w:font>
  <w:font w:name="Play">
    <w:charset w:val="00"/>
    <w:family w:val="auto"/>
    <w:pitch w:val="default"/>
    <w:embedRegular r:id="rId5" w:fontKey="{A6565FE3-60C6-420B-B170-FE2E8A68268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9DEC4F9B-A7E5-4C7C-931C-FE218F7B9759}"/>
    <w:embedBold r:id="rId7" w:fontKey="{B7B5D27C-AB7D-42AD-9D30-0AE32E5B6907}"/>
    <w:embedItalic r:id="rId8" w:fontKey="{CE7F39CE-3C01-4068-A91F-44D2D89C5A0A}"/>
  </w:font>
  <w:font w:name="Cambria Math">
    <w:panose1 w:val="02040503050406030204"/>
    <w:charset w:val="00"/>
    <w:family w:val="roman"/>
    <w:pitch w:val="variable"/>
    <w:sig w:usb0="E00006FF" w:usb1="420024FF" w:usb2="02000000" w:usb3="00000000" w:csb0="0000019F" w:csb1="00000000"/>
    <w:embedRegular r:id="rId9" w:fontKey="{0F2B6837-FAD5-4C6B-A710-8A5E1401A7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25FAB" w14:textId="77777777" w:rsidR="005103DB" w:rsidRDefault="005103DB">
      <w:pPr>
        <w:spacing w:after="0" w:line="240" w:lineRule="auto"/>
      </w:pPr>
      <w:r>
        <w:separator/>
      </w:r>
    </w:p>
  </w:footnote>
  <w:footnote w:type="continuationSeparator" w:id="0">
    <w:p w14:paraId="59B4BE8C" w14:textId="77777777" w:rsidR="005103DB" w:rsidRDefault="005103DB">
      <w:pPr>
        <w:spacing w:after="0" w:line="240" w:lineRule="auto"/>
      </w:pPr>
      <w:r>
        <w:continuationSeparator/>
      </w:r>
    </w:p>
  </w:footnote>
  <w:footnote w:id="1">
    <w:p w14:paraId="54A70B98" w14:textId="1624A776" w:rsidR="004C1B1B" w:rsidRDefault="009D2973">
      <w:pPr>
        <w:rPr>
          <w:sz w:val="18"/>
          <w:szCs w:val="18"/>
        </w:rPr>
      </w:pPr>
      <w:r>
        <w:rPr>
          <w:rStyle w:val="FootnoteReference"/>
        </w:rPr>
        <w:footnoteRef/>
      </w:r>
      <w:r>
        <w:t xml:space="preserve"> </w:t>
      </w:r>
      <w:hyperlink r:id="rId1">
        <w:r>
          <w:rPr>
            <w:color w:val="467886"/>
            <w:sz w:val="18"/>
            <w:szCs w:val="18"/>
            <w:u w:val="single"/>
          </w:rPr>
          <w:t>Regulation (EU) 2021/818</w:t>
        </w:r>
      </w:hyperlink>
      <w:r>
        <w:rPr>
          <w:sz w:val="18"/>
          <w:szCs w:val="18"/>
        </w:rPr>
        <w:t xml:space="preserve"> of the European Parliament and of the Council of 20 May 2021 establishing the Creative Europe Programme (2021 to 2027) and repealing Regulation (EU) No 1295/2013</w:t>
      </w:r>
    </w:p>
  </w:footnote>
  <w:footnote w:id="2">
    <w:p w14:paraId="00000023" w14:textId="77777777" w:rsidR="002230F5" w:rsidRDefault="009D2973">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hyperlink r:id="rId2">
        <w:r>
          <w:rPr>
            <w:color w:val="467886"/>
            <w:sz w:val="18"/>
            <w:szCs w:val="18"/>
            <w:u w:val="single"/>
          </w:rPr>
          <w:t>The Economic Impact of Music in Europe</w:t>
        </w:r>
      </w:hyperlink>
      <w:r>
        <w:rPr>
          <w:color w:val="000000"/>
          <w:sz w:val="18"/>
          <w:szCs w:val="18"/>
        </w:rPr>
        <w:t>" study by Oxford Economics, commissioned by the International Federation of the Phonographic Industry (IFPI) (2020)</w:t>
      </w:r>
    </w:p>
    <w:p w14:paraId="00000024" w14:textId="77777777" w:rsidR="002230F5" w:rsidRDefault="002230F5">
      <w:pPr>
        <w:pBdr>
          <w:top w:val="nil"/>
          <w:left w:val="nil"/>
          <w:bottom w:val="nil"/>
          <w:right w:val="nil"/>
          <w:between w:val="nil"/>
        </w:pBdr>
        <w:spacing w:after="0" w:line="240" w:lineRule="auto"/>
        <w:rPr>
          <w:i/>
          <w:iCs/>
          <w:color w:val="000000"/>
          <w:sz w:val="16"/>
          <w:szCs w:val="16"/>
        </w:rPr>
      </w:pPr>
    </w:p>
  </w:footnote>
  <w:footnote w:id="3">
    <w:p w14:paraId="49202787" w14:textId="6E2EA531" w:rsidR="004C1B1B" w:rsidRPr="004C1B1B" w:rsidRDefault="004C1B1B">
      <w:pPr>
        <w:pStyle w:val="FootnoteText"/>
      </w:pPr>
      <w:r>
        <w:rPr>
          <w:rStyle w:val="FootnoteReference"/>
        </w:rPr>
        <w:footnoteRef/>
      </w:r>
      <w:r>
        <w:t xml:space="preserve"> </w:t>
      </w:r>
      <w:hyperlink r:id="rId3" w:history="1">
        <w:r w:rsidRPr="004C1B1B">
          <w:rPr>
            <w:rStyle w:val="Hyperlink"/>
          </w:rPr>
          <w:t>European Parliament resolution</w:t>
        </w:r>
      </w:hyperlink>
      <w:r w:rsidRPr="004C1B1B">
        <w:t xml:space="preserve"> of 17 January 2024 on cultural diversity and the conditions for authors in the European music streaming market</w:t>
      </w:r>
      <w:r>
        <w:t xml:space="preserve">, </w:t>
      </w:r>
    </w:p>
  </w:footnote>
  <w:footnote w:id="4">
    <w:p w14:paraId="1F730AE4" w14:textId="0AD46168" w:rsidR="004C1B1B" w:rsidRDefault="009D297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4" w:history="1">
        <w:r w:rsidR="004C1B1B" w:rsidRPr="005424AE">
          <w:rPr>
            <w:rStyle w:val="Hyperlink"/>
            <w:sz w:val="20"/>
            <w:szCs w:val="20"/>
          </w:rPr>
          <w:t>https://cultureactioneurope.org/wp-content/uploads/2025/01/Letter_CreativeEurope_final.pdf</w:t>
        </w:r>
      </w:hyperlink>
      <w:r w:rsidR="004C1B1B">
        <w:rPr>
          <w:color w:val="000000"/>
          <w:sz w:val="20"/>
          <w:szCs w:val="20"/>
        </w:rPr>
        <w:t xml:space="preserve"> </w:t>
      </w:r>
    </w:p>
  </w:footnote>
  <w:footnote w:id="5">
    <w:p w14:paraId="00000026" w14:textId="2645EE21" w:rsidR="002230F5" w:rsidRDefault="009D297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5" w:history="1">
        <w:r w:rsidR="004C1B1B" w:rsidRPr="005424AE">
          <w:rPr>
            <w:rStyle w:val="Hyperlink"/>
            <w:sz w:val="20"/>
            <w:szCs w:val="20"/>
          </w:rPr>
          <w:t>https://eur-lex.europa.eu/legal-content/EN/TXT/?uri=celex:52025SC0418</w:t>
        </w:r>
      </w:hyperlink>
      <w:r w:rsidR="004C1B1B">
        <w:rPr>
          <w:color w:val="000000"/>
          <w:sz w:val="20"/>
          <w:szCs w:val="20"/>
        </w:rPr>
        <w:t xml:space="preserve"> </w:t>
      </w:r>
    </w:p>
  </w:footnote>
  <w:footnote w:id="6">
    <w:p w14:paraId="00000027" w14:textId="77777777" w:rsidR="002230F5" w:rsidRDefault="009D297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6">
        <w:r>
          <w:rPr>
            <w:color w:val="467886"/>
            <w:sz w:val="18"/>
            <w:szCs w:val="18"/>
            <w:u w:val="single"/>
          </w:rPr>
          <w:t>Culture Compass for Europe</w:t>
        </w:r>
      </w:hyperlink>
      <w:r>
        <w:rPr>
          <w:color w:val="000000"/>
          <w:sz w:val="18"/>
          <w:szCs w:val="18"/>
        </w:rPr>
        <w:t xml:space="preserve"> from the Commission to the European Parliament, the Council, the European Economic and Social Committee and the Committee of the Regions, November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D33C5D"/>
    <w:multiLevelType w:val="multilevel"/>
    <w:tmpl w:val="E8E8C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BCE6305"/>
    <w:multiLevelType w:val="multilevel"/>
    <w:tmpl w:val="1246464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3233002">
    <w:abstractNumId w:val="1"/>
  </w:num>
  <w:num w:numId="2" w16cid:durableId="1131288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0F5"/>
    <w:rsid w:val="000F421F"/>
    <w:rsid w:val="0011507D"/>
    <w:rsid w:val="002230F5"/>
    <w:rsid w:val="0027288A"/>
    <w:rsid w:val="002F2DA3"/>
    <w:rsid w:val="004C1B1B"/>
    <w:rsid w:val="005103DB"/>
    <w:rsid w:val="005914F2"/>
    <w:rsid w:val="006F299F"/>
    <w:rsid w:val="00781257"/>
    <w:rsid w:val="009D2973"/>
    <w:rsid w:val="009F6B71"/>
    <w:rsid w:val="00A76B72"/>
    <w:rsid w:val="00B1421F"/>
    <w:rsid w:val="00BE0EEF"/>
    <w:rsid w:val="00D8164D"/>
    <w:rsid w:val="00EF7F8F"/>
    <w:rsid w:val="00F41463"/>
    <w:rsid w:val="00F5530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38E0A"/>
  <w15:docId w15:val="{56FD3E55-F162-44DE-ABC9-1C47D270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B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B59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59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59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6B59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59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59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59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59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59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59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59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5934"/>
    <w:rPr>
      <w:rFonts w:eastAsiaTheme="majorEastAsia" w:cstheme="majorBidi"/>
      <w:color w:val="272727" w:themeColor="text1" w:themeTint="D8"/>
    </w:rPr>
  </w:style>
  <w:style w:type="character" w:customStyle="1" w:styleId="TitleChar">
    <w:name w:val="Title Char"/>
    <w:basedOn w:val="DefaultParagraphFont"/>
    <w:link w:val="Title"/>
    <w:uiPriority w:val="10"/>
    <w:rsid w:val="006B593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B5934"/>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6B5934"/>
    <w:pPr>
      <w:spacing w:before="160"/>
      <w:jc w:val="center"/>
    </w:pPr>
    <w:rPr>
      <w:i/>
      <w:iCs/>
      <w:color w:val="000000" w:themeColor="text1"/>
    </w:rPr>
  </w:style>
  <w:style w:type="character" w:customStyle="1" w:styleId="QuoteChar">
    <w:name w:val="Quote Char"/>
    <w:basedOn w:val="DefaultParagraphFont"/>
    <w:link w:val="Quote"/>
    <w:uiPriority w:val="29"/>
    <w:rsid w:val="006B5934"/>
    <w:rPr>
      <w:i/>
      <w:iCs/>
      <w:color w:val="000000" w:themeColor="text1"/>
    </w:rPr>
  </w:style>
  <w:style w:type="paragraph" w:styleId="ListParagraph">
    <w:name w:val="List Paragraph"/>
    <w:basedOn w:val="Normal"/>
    <w:uiPriority w:val="34"/>
    <w:qFormat/>
    <w:rsid w:val="006B5934"/>
    <w:pPr>
      <w:ind w:left="720"/>
      <w:contextualSpacing/>
    </w:pPr>
  </w:style>
  <w:style w:type="character" w:styleId="IntenseEmphasis">
    <w:name w:val="Intense Emphasis"/>
    <w:basedOn w:val="DefaultParagraphFont"/>
    <w:uiPriority w:val="21"/>
    <w:qFormat/>
    <w:rsid w:val="006B5934"/>
    <w:rPr>
      <w:i/>
      <w:iCs/>
      <w:color w:val="0F4761" w:themeColor="accent1" w:themeShade="BF"/>
    </w:rPr>
  </w:style>
  <w:style w:type="paragraph" w:styleId="IntenseQuote">
    <w:name w:val="Intense Quote"/>
    <w:basedOn w:val="Normal"/>
    <w:next w:val="Normal"/>
    <w:link w:val="IntenseQuoteChar"/>
    <w:uiPriority w:val="30"/>
    <w:qFormat/>
    <w:rsid w:val="006B59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5934"/>
    <w:rPr>
      <w:i/>
      <w:iCs/>
      <w:color w:val="0F4761" w:themeColor="accent1" w:themeShade="BF"/>
    </w:rPr>
  </w:style>
  <w:style w:type="character" w:styleId="IntenseReference">
    <w:name w:val="Intense Reference"/>
    <w:basedOn w:val="DefaultParagraphFont"/>
    <w:uiPriority w:val="32"/>
    <w:qFormat/>
    <w:rsid w:val="006B5934"/>
    <w:rPr>
      <w:b/>
      <w:bCs/>
      <w:smallCaps/>
      <w:color w:val="0F4761" w:themeColor="accent1" w:themeShade="BF"/>
      <w:spacing w:val="5"/>
    </w:rPr>
  </w:style>
  <w:style w:type="character" w:styleId="CommentReference">
    <w:name w:val="annotation reference"/>
    <w:basedOn w:val="DefaultParagraphFont"/>
    <w:uiPriority w:val="99"/>
    <w:semiHidden/>
    <w:unhideWhenUsed/>
    <w:rsid w:val="006B5934"/>
    <w:rPr>
      <w:sz w:val="16"/>
      <w:szCs w:val="16"/>
    </w:rPr>
  </w:style>
  <w:style w:type="table" w:styleId="TableGrid">
    <w:name w:val="Table Grid"/>
    <w:basedOn w:val="TableNormal"/>
    <w:uiPriority w:val="39"/>
    <w:rsid w:val="006B593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6B5934"/>
    <w:rPr>
      <w:color w:val="467886"/>
      <w:u w:val="single"/>
    </w:rPr>
  </w:style>
  <w:style w:type="paragraph" w:styleId="FootnoteText">
    <w:name w:val="footnote text"/>
    <w:basedOn w:val="Normal"/>
    <w:link w:val="FootnoteTextChar"/>
    <w:uiPriority w:val="99"/>
    <w:unhideWhenUsed/>
    <w:rsid w:val="006B5934"/>
    <w:pPr>
      <w:spacing w:after="0" w:line="240" w:lineRule="auto"/>
    </w:pPr>
    <w:rPr>
      <w:sz w:val="20"/>
      <w:szCs w:val="20"/>
    </w:rPr>
  </w:style>
  <w:style w:type="character" w:customStyle="1" w:styleId="FootnoteTextChar">
    <w:name w:val="Footnote Text Char"/>
    <w:basedOn w:val="DefaultParagraphFont"/>
    <w:link w:val="FootnoteText"/>
    <w:uiPriority w:val="99"/>
    <w:rsid w:val="006B5934"/>
    <w:rPr>
      <w:sz w:val="20"/>
      <w:szCs w:val="20"/>
      <w:lang w:val="en-GB"/>
    </w:rPr>
  </w:style>
  <w:style w:type="character" w:styleId="FootnoteReference">
    <w:name w:val="footnote reference"/>
    <w:basedOn w:val="DefaultParagraphFont"/>
    <w:uiPriority w:val="99"/>
    <w:semiHidden/>
    <w:unhideWhenUsed/>
    <w:rsid w:val="006B5934"/>
    <w:rPr>
      <w:vertAlign w:val="superscript"/>
    </w:rPr>
  </w:style>
  <w:style w:type="character" w:styleId="Hyperlink">
    <w:name w:val="Hyperlink"/>
    <w:basedOn w:val="DefaultParagraphFont"/>
    <w:uiPriority w:val="99"/>
    <w:unhideWhenUsed/>
    <w:rsid w:val="006B5934"/>
    <w:rPr>
      <w:color w:val="467886" w:themeColor="hyperlink"/>
      <w:u w:val="single"/>
    </w:rPr>
  </w:style>
  <w:style w:type="paragraph" w:styleId="Subtitle">
    <w:name w:val="Subtitle"/>
    <w:basedOn w:val="Normal"/>
    <w:next w:val="Normal"/>
    <w:link w:val="SubtitleChar"/>
    <w:uiPriority w:val="11"/>
    <w:qFormat/>
    <w:rPr>
      <w:color w:val="000000"/>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Revision">
    <w:name w:val="Revision"/>
    <w:hidden/>
    <w:uiPriority w:val="99"/>
    <w:semiHidden/>
    <w:rsid w:val="00D8164D"/>
    <w:pPr>
      <w:spacing w:after="0" w:line="240" w:lineRule="auto"/>
    </w:pPr>
  </w:style>
  <w:style w:type="paragraph" w:styleId="EndnoteText">
    <w:name w:val="endnote text"/>
    <w:basedOn w:val="Normal"/>
    <w:link w:val="EndnoteTextChar"/>
    <w:uiPriority w:val="99"/>
    <w:semiHidden/>
    <w:unhideWhenUsed/>
    <w:rsid w:val="00D816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164D"/>
    <w:rPr>
      <w:sz w:val="20"/>
      <w:szCs w:val="20"/>
    </w:rPr>
  </w:style>
  <w:style w:type="character" w:styleId="EndnoteReference">
    <w:name w:val="endnote reference"/>
    <w:basedOn w:val="DefaultParagraphFont"/>
    <w:uiPriority w:val="99"/>
    <w:semiHidden/>
    <w:unhideWhenUsed/>
    <w:rsid w:val="00D8164D"/>
    <w:rPr>
      <w:vertAlign w:val="superscript"/>
    </w:rPr>
  </w:style>
  <w:style w:type="character" w:styleId="UnresolvedMention">
    <w:name w:val="Unresolved Mention"/>
    <w:basedOn w:val="DefaultParagraphFont"/>
    <w:uiPriority w:val="99"/>
    <w:semiHidden/>
    <w:unhideWhenUsed/>
    <w:rsid w:val="004C1B1B"/>
    <w:rPr>
      <w:color w:val="605E5C"/>
      <w:shd w:val="clear" w:color="auto" w:fill="E1DFDD"/>
    </w:rPr>
  </w:style>
  <w:style w:type="paragraph" w:styleId="Header">
    <w:name w:val="header"/>
    <w:basedOn w:val="Normal"/>
    <w:link w:val="HeaderChar"/>
    <w:uiPriority w:val="99"/>
    <w:unhideWhenUsed/>
    <w:rsid w:val="00F553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30A"/>
  </w:style>
  <w:style w:type="paragraph" w:styleId="Footer">
    <w:name w:val="footer"/>
    <w:basedOn w:val="Normal"/>
    <w:link w:val="FooterChar"/>
    <w:uiPriority w:val="99"/>
    <w:unhideWhenUsed/>
    <w:rsid w:val="00F553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composeralliance.org/news/2025/9/call-for-a-comprehensive-policy-strategy-and-an-ambitious-budget-for-europe-s-music-sector-within-agora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europarl.europa.eu/doceo/document/TA-9-2024-0020_EN.pdf" TargetMode="External"/><Relationship Id="rId2" Type="http://schemas.openxmlformats.org/officeDocument/2006/relationships/hyperlink" Target="https://www.ifpi.org/wp-content/uploads/2020/11/IFPI_music_in_Europe_WEB_spreads.pdf" TargetMode="External"/><Relationship Id="rId1" Type="http://schemas.openxmlformats.org/officeDocument/2006/relationships/hyperlink" Target="https://eur-lex.europa.eu/eli/reg/2021/818/oj/eng" TargetMode="External"/><Relationship Id="rId6" Type="http://schemas.openxmlformats.org/officeDocument/2006/relationships/hyperlink" Target="https://culture.ec.europa.eu/sites/default/files/2025-11/Communication%20-%20Culture%20Compass%20with%20cover_0.pdf" TargetMode="External"/><Relationship Id="rId5" Type="http://schemas.openxmlformats.org/officeDocument/2006/relationships/hyperlink" Target="https://eur-lex.europa.eu/legal-content/EN/TXT/?uri=celex:52025SC0418" TargetMode="External"/><Relationship Id="rId4" Type="http://schemas.openxmlformats.org/officeDocument/2006/relationships/hyperlink" Target="https://cultureactioneurope.org/wp-content/uploads/2025/01/Letter_CreativeEurope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RcwRQifzDJNCnquLnr2y6OzBig==">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</go:docsCustomData>
</go:gDocsCustomXmlDataStorage>
</file>

<file path=customXml/itemProps1.xml><?xml version="1.0" encoding="utf-8"?>
<ds:datastoreItem xmlns:ds="http://schemas.openxmlformats.org/officeDocument/2006/customXml" ds:itemID="{11CAB599-3013-46E5-85D3-144ED8E794F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Du Moulin</dc:creator>
  <cp:lastModifiedBy>Claire Iceaga</cp:lastModifiedBy>
  <cp:revision>3</cp:revision>
  <dcterms:created xsi:type="dcterms:W3CDTF">2026-01-20T12:54:00Z</dcterms:created>
  <dcterms:modified xsi:type="dcterms:W3CDTF">2026-01-21T14:19:00Z</dcterms:modified>
</cp:coreProperties>
</file>